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30F4" w14:textId="77777777" w:rsidR="00872989" w:rsidRPr="00601731" w:rsidRDefault="00276972" w:rsidP="0078792A">
      <w:pPr>
        <w:jc w:val="center"/>
        <w:rPr>
          <w:rFonts w:asciiTheme="minorHAnsi" w:hAnsiTheme="minorHAnsi"/>
          <w:b/>
          <w:smallCaps/>
        </w:rPr>
      </w:pPr>
      <w:r w:rsidRPr="00601731">
        <w:rPr>
          <w:rFonts w:asciiTheme="minorHAnsi" w:hAnsiTheme="minorHAnsi"/>
          <w:b/>
          <w:smallCaps/>
        </w:rPr>
        <w:t>ROLE P</w:t>
      </w:r>
      <w:r w:rsidR="007B678E" w:rsidRPr="00601731">
        <w:rPr>
          <w:rFonts w:asciiTheme="minorHAnsi" w:hAnsiTheme="minorHAnsi"/>
          <w:b/>
          <w:smallCaps/>
        </w:rPr>
        <w:t>ROFILE</w:t>
      </w:r>
    </w:p>
    <w:p w14:paraId="0A3DF588" w14:textId="77777777" w:rsidR="00853972" w:rsidRPr="00601731" w:rsidRDefault="00853972" w:rsidP="0085397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601731" w14:paraId="17E2C5F9" w14:textId="77777777" w:rsidTr="6E61CA53">
        <w:tc>
          <w:tcPr>
            <w:tcW w:w="1046" w:type="pct"/>
            <w:shd w:val="clear" w:color="auto" w:fill="auto"/>
          </w:tcPr>
          <w:p w14:paraId="060123AC" w14:textId="3F19432A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74C238F9" w14:textId="2EFB6876" w:rsidR="00575F3E" w:rsidRPr="00601731" w:rsidRDefault="003607C5" w:rsidP="6E61CA5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Head of </w:t>
            </w:r>
            <w:r w:rsidR="462615A9" w:rsidRPr="6E61CA53">
              <w:rPr>
                <w:rFonts w:asciiTheme="minorHAnsi" w:hAnsiTheme="minorHAnsi"/>
                <w:b/>
                <w:bCs/>
              </w:rPr>
              <w:t xml:space="preserve">People </w:t>
            </w:r>
            <w:r w:rsidR="00A36198" w:rsidRPr="6E61CA53">
              <w:rPr>
                <w:rFonts w:asciiTheme="minorHAnsi" w:hAnsiTheme="minorHAnsi"/>
                <w:b/>
                <w:bCs/>
              </w:rPr>
              <w:t>Services</w:t>
            </w:r>
          </w:p>
        </w:tc>
        <w:tc>
          <w:tcPr>
            <w:tcW w:w="569" w:type="pct"/>
            <w:shd w:val="clear" w:color="auto" w:fill="auto"/>
          </w:tcPr>
          <w:p w14:paraId="5A10B133" w14:textId="77777777" w:rsidR="00575F3E" w:rsidRPr="00601731" w:rsidRDefault="00325FD3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4D6ADE66" w14:textId="6A98F8A1" w:rsidR="00575F3E" w:rsidRPr="00601731" w:rsidRDefault="00A90D3C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Bristol</w:t>
            </w:r>
          </w:p>
        </w:tc>
      </w:tr>
      <w:tr w:rsidR="00575F3E" w:rsidRPr="00601731" w14:paraId="0B76BF71" w14:textId="77777777" w:rsidTr="6E61CA53">
        <w:tc>
          <w:tcPr>
            <w:tcW w:w="1046" w:type="pct"/>
            <w:shd w:val="clear" w:color="auto" w:fill="auto"/>
          </w:tcPr>
          <w:p w14:paraId="71D1AFE7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145637F1" w14:textId="161D7896" w:rsidR="00575F3E" w:rsidRPr="00601731" w:rsidRDefault="00A36198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HR</w:t>
            </w:r>
          </w:p>
        </w:tc>
        <w:tc>
          <w:tcPr>
            <w:tcW w:w="569" w:type="pct"/>
            <w:shd w:val="clear" w:color="auto" w:fill="auto"/>
          </w:tcPr>
          <w:p w14:paraId="4AACD850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63F36501" w14:textId="56D58797" w:rsidR="00575F3E" w:rsidRPr="00601731" w:rsidRDefault="00A36198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HR</w:t>
            </w:r>
          </w:p>
        </w:tc>
      </w:tr>
      <w:tr w:rsidR="00575F3E" w:rsidRPr="00601731" w14:paraId="059DDA5F" w14:textId="77777777" w:rsidTr="6E61CA53">
        <w:trPr>
          <w:trHeight w:val="272"/>
        </w:trPr>
        <w:tc>
          <w:tcPr>
            <w:tcW w:w="1046" w:type="pct"/>
            <w:shd w:val="clear" w:color="auto" w:fill="auto"/>
          </w:tcPr>
          <w:p w14:paraId="659B10FD" w14:textId="77777777" w:rsidR="00575F3E" w:rsidRPr="00601731" w:rsidRDefault="00CF70F5" w:rsidP="00CF70F5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Reports to</w:t>
            </w:r>
            <w:r w:rsidR="00575F3E" w:rsidRPr="00601731">
              <w:rPr>
                <w:rFonts w:asciiTheme="minorHAnsi" w:hAnsiTheme="minorHAnsi"/>
                <w:b/>
              </w:rPr>
              <w:t xml:space="preserve"> </w:t>
            </w:r>
            <w:r w:rsidRPr="00601731">
              <w:rPr>
                <w:rFonts w:asciiTheme="minorHAnsi" w:hAnsiTheme="minorHAnsi"/>
                <w:b/>
              </w:rPr>
              <w:t>Role</w:t>
            </w:r>
            <w:r w:rsidR="00575F3E" w:rsidRPr="00601731">
              <w:rPr>
                <w:rFonts w:asciiTheme="minorHAnsi" w:hAnsi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E7A9EE" w14:textId="6BDF39F2" w:rsidR="00575F3E" w:rsidRPr="00601731" w:rsidRDefault="00A90D3C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Chief People Officer</w:t>
            </w:r>
          </w:p>
        </w:tc>
        <w:tc>
          <w:tcPr>
            <w:tcW w:w="569" w:type="pct"/>
            <w:shd w:val="clear" w:color="auto" w:fill="auto"/>
          </w:tcPr>
          <w:p w14:paraId="3A6ED824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4966BE43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</w:p>
        </w:tc>
      </w:tr>
    </w:tbl>
    <w:p w14:paraId="13CF33AC" w14:textId="77777777" w:rsidR="00C914EE" w:rsidRPr="00601731" w:rsidRDefault="00C914EE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601731" w14:paraId="453AA3B7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EFE1A10" w14:textId="77777777" w:rsidR="00031263" w:rsidRPr="00601731" w:rsidRDefault="00D66408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D66408">
              <w:rPr>
                <w:rFonts w:asciiTheme="minorHAnsi" w:hAnsiTheme="minorHAnsi" w:cs="Arial"/>
                <w:b/>
              </w:rPr>
              <w:t>PURPOSE</w:t>
            </w:r>
          </w:p>
        </w:tc>
      </w:tr>
      <w:tr w:rsidR="00031263" w:rsidRPr="00601731" w14:paraId="664FE638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13545F5" w14:textId="77777777" w:rsidR="00315047" w:rsidRDefault="00315047" w:rsidP="00196A8F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Head of People 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Services provides strategic leadership over the People Services Contact Centre, Payroll Team, and HR Information Systems (HRIS) Team, ensuring a high-performing, customer-centric HR service delivery model. This role drives transformation, operational excellence, and technological innovation while ensuring compliance with employment laws and regulations. </w:t>
            </w:r>
          </w:p>
          <w:p w14:paraId="7E579354" w14:textId="77777777" w:rsidR="00315047" w:rsidRDefault="00315047" w:rsidP="00196A8F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2E5F068" w14:textId="69CB7A0A" w:rsidR="00315047" w:rsidRDefault="00315047" w:rsidP="00196A8F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role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is responsible for aligning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the People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ervices with broader business objectives, fostering continuous improvement, and enhancing the employee experience through data-driven insights and process optimisation.</w:t>
            </w:r>
          </w:p>
          <w:p w14:paraId="35826455" w14:textId="1FF3F84C" w:rsidR="00315047" w:rsidRPr="00601731" w:rsidRDefault="00315047" w:rsidP="00196A8F">
            <w:pPr>
              <w:rPr>
                <w:rFonts w:asciiTheme="minorHAnsi" w:hAnsiTheme="minorHAnsi" w:cs="Arial"/>
                <w:i/>
              </w:rPr>
            </w:pPr>
          </w:p>
        </w:tc>
      </w:tr>
      <w:tr w:rsidR="00031263" w:rsidRPr="00601731" w14:paraId="09A4DDE8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23FEE47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>CORE ACCOUNTABILITIES</w:t>
            </w:r>
          </w:p>
        </w:tc>
      </w:tr>
      <w:tr w:rsidR="00031263" w:rsidRPr="00601731" w14:paraId="51116AF2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BC9DAC1" w14:textId="77777777" w:rsidR="00FC3D22" w:rsidRDefault="00315047" w:rsidP="003150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As a strategic leader, 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Head of People Services 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defines the vision and long-term roadmap for </w:t>
            </w:r>
            <w:r w:rsid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>People Services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, ensuring integration with overall business and </w:t>
            </w:r>
            <w:r w:rsid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>People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strategy. </w:t>
            </w:r>
            <w:r w:rsid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They oversee People Services, driving service excellence through proactive issue resolution, digital enhancements, and best-in-class employee support. </w:t>
            </w:r>
            <w:r w:rsid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</w:t>
            </w:r>
          </w:p>
          <w:p w14:paraId="3A66192D" w14:textId="77777777" w:rsidR="00FC3D22" w:rsidRDefault="00FC3D22" w:rsidP="003150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5B165F61" w14:textId="79D9FA59" w:rsidR="00315047" w:rsidRDefault="00315047" w:rsidP="003150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In payroll, they establish governance frameworks for accuracy, compliance, and financial integrity, collaborating with finance and external partners to drive efficiency and risk mitigation.</w:t>
            </w:r>
          </w:p>
          <w:p w14:paraId="38D17999" w14:textId="77777777" w:rsidR="00FC3D22" w:rsidRPr="00315047" w:rsidRDefault="00FC3D22" w:rsidP="003150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0455E555" w14:textId="789F7733" w:rsidR="00315047" w:rsidRDefault="00315047" w:rsidP="003150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Leading the HRIS function, they champion digital transformation, leveraging data analytics, automation, and system integrations to optimise</w:t>
            </w:r>
            <w:r w:rsid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HR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operations. They proactively assess emerging HR technologies and trends to drive continuous improvement. Additionally, they develop and implement HR service delivery models that balance scalability, cost-effectiveness, and employee satisfaction while maintaining compliance with regulatory requirements.</w:t>
            </w:r>
          </w:p>
          <w:p w14:paraId="383B7B45" w14:textId="77777777" w:rsidR="00FC3D22" w:rsidRPr="00315047" w:rsidRDefault="00FC3D22" w:rsidP="003150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6E4BA03A" w14:textId="35E238C7" w:rsidR="00315047" w:rsidRPr="00315047" w:rsidRDefault="00315047" w:rsidP="0031504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The </w:t>
            </w:r>
            <w:r w:rsid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>roles</w:t>
            </w:r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>serves</w:t>
            </w:r>
            <w:proofErr w:type="gramEnd"/>
            <w:r w:rsidRPr="00315047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as a key advisor to senior leadership, providing strategic insights on workforce trends, operational risks, and process enhancements. They drive a culture of accountability, innovation, and high performance while managing budgets, third-party vendors, and external partnerships to maximise efficiency and value.</w:t>
            </w:r>
          </w:p>
          <w:p w14:paraId="6E65BB67" w14:textId="77777777" w:rsidR="00315047" w:rsidRDefault="00315047" w:rsidP="00575F3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0ECFB2F7" w14:textId="77777777" w:rsidR="00315047" w:rsidRPr="00601731" w:rsidRDefault="00315047" w:rsidP="00575F3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031263" w:rsidRPr="00601731" w14:paraId="608AC646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440AF1E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</w:rPr>
            </w:pPr>
            <w:r w:rsidRPr="00601731">
              <w:rPr>
                <w:rFonts w:asciiTheme="minorHAnsi" w:hAnsiTheme="minorHAnsi" w:cs="Arial"/>
                <w:b/>
              </w:rPr>
              <w:t>CONTACTS/ KEY RELATIONSHIPS &amp; NATURE OF INFLUENCE</w:t>
            </w:r>
          </w:p>
        </w:tc>
      </w:tr>
      <w:tr w:rsidR="00031263" w:rsidRPr="00601731" w14:paraId="12D251D6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01F8ACF" w14:textId="5FC00603" w:rsidR="00FC3D22" w:rsidRPr="00FC3D22" w:rsidRDefault="00FC3D22" w:rsidP="00FC3D22">
            <w:pPr>
              <w:numPr>
                <w:ilvl w:val="0"/>
                <w:numId w:val="3"/>
              </w:numPr>
              <w:tabs>
                <w:tab w:val="left" w:pos="164"/>
                <w:tab w:val="num" w:pos="720"/>
              </w:tabs>
              <w:spacing w:line="258" w:lineRule="auto"/>
              <w:ind w:right="64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FC3D22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Senior Leadership Team: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Provides strategic insights, influences decision-making, and aligns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People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services with broader business goals.</w:t>
            </w:r>
          </w:p>
          <w:p w14:paraId="151D0B4E" w14:textId="661ADFDF" w:rsidR="00FC3D22" w:rsidRPr="00FC3D22" w:rsidRDefault="00FC3D22" w:rsidP="00FC3D22">
            <w:pPr>
              <w:numPr>
                <w:ilvl w:val="0"/>
                <w:numId w:val="3"/>
              </w:numPr>
              <w:tabs>
                <w:tab w:val="left" w:pos="164"/>
                <w:tab w:val="num" w:pos="720"/>
              </w:tabs>
              <w:spacing w:line="258" w:lineRule="auto"/>
              <w:ind w:right="64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FC3D22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HR Business Partners: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Collaborates to ensure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People S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ervices meet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business 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>needs and drive HR effectiveness.</w:t>
            </w:r>
          </w:p>
          <w:p w14:paraId="16477C97" w14:textId="77777777" w:rsidR="00FC3D22" w:rsidRPr="00FC3D22" w:rsidRDefault="00FC3D22" w:rsidP="00FC3D22">
            <w:pPr>
              <w:numPr>
                <w:ilvl w:val="0"/>
                <w:numId w:val="3"/>
              </w:numPr>
              <w:tabs>
                <w:tab w:val="left" w:pos="164"/>
                <w:tab w:val="num" w:pos="720"/>
              </w:tabs>
              <w:spacing w:line="258" w:lineRule="auto"/>
              <w:ind w:right="64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FC3D22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Finance &amp; Payroll Teams: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Works closely to ensure financial accuracy, compliance, and operational efficiencies.</w:t>
            </w:r>
          </w:p>
          <w:p w14:paraId="4F836ABF" w14:textId="77777777" w:rsidR="00FC3D22" w:rsidRPr="00FC3D22" w:rsidRDefault="00FC3D22" w:rsidP="00FC3D22">
            <w:pPr>
              <w:numPr>
                <w:ilvl w:val="0"/>
                <w:numId w:val="3"/>
              </w:numPr>
              <w:tabs>
                <w:tab w:val="left" w:pos="164"/>
                <w:tab w:val="num" w:pos="720"/>
              </w:tabs>
              <w:spacing w:line="258" w:lineRule="auto"/>
              <w:ind w:right="64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FC3D22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IT &amp; HRIS Teams: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Leads system integration projects and ensures technology solutions align with business requirements.</w:t>
            </w:r>
          </w:p>
          <w:p w14:paraId="7FA2FC92" w14:textId="77777777" w:rsidR="00FC3D22" w:rsidRPr="00FC3D22" w:rsidRDefault="00FC3D22" w:rsidP="00FC3D22">
            <w:pPr>
              <w:numPr>
                <w:ilvl w:val="0"/>
                <w:numId w:val="3"/>
              </w:numPr>
              <w:tabs>
                <w:tab w:val="left" w:pos="164"/>
                <w:tab w:val="num" w:pos="720"/>
              </w:tabs>
              <w:spacing w:line="258" w:lineRule="auto"/>
              <w:ind w:right="64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FC3D22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Third-Party Vendors &amp; Service Providers: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Manages relationships with HR technology providers, payroll services, and outsourcing partners to optimise service delivery.</w:t>
            </w:r>
          </w:p>
          <w:p w14:paraId="72932A7F" w14:textId="6B17ADB0" w:rsidR="0038775A" w:rsidRPr="00FC3D22" w:rsidRDefault="00FC3D22" w:rsidP="00FC3D22">
            <w:pPr>
              <w:numPr>
                <w:ilvl w:val="0"/>
                <w:numId w:val="3"/>
              </w:numPr>
              <w:tabs>
                <w:tab w:val="left" w:pos="164"/>
                <w:tab w:val="num" w:pos="720"/>
              </w:tabs>
              <w:spacing w:line="258" w:lineRule="auto"/>
              <w:ind w:right="640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FC3D22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Employees &amp; Managers: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Ensures responsive, high-quality HR services that enhance the employee experience.</w:t>
            </w:r>
          </w:p>
        </w:tc>
      </w:tr>
      <w:tr w:rsidR="00031263" w:rsidRPr="00601731" w14:paraId="1B40631F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99A306C" w14:textId="77777777" w:rsidR="00031263" w:rsidRPr="00601731" w:rsidRDefault="000249FB" w:rsidP="00CF70F5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KNOWLEDGE</w:t>
            </w:r>
            <w:proofErr w:type="gramStart"/>
            <w:r w:rsidRPr="00601731">
              <w:rPr>
                <w:rFonts w:asciiTheme="minorHAnsi" w:hAnsiTheme="minorHAnsi" w:cs="Arial"/>
                <w:b/>
              </w:rPr>
              <w:t xml:space="preserve">/ </w:t>
            </w:r>
            <w:r w:rsidR="00031263" w:rsidRPr="00601731">
              <w:rPr>
                <w:rFonts w:asciiTheme="minorHAnsi" w:hAnsiTheme="minorHAnsi" w:cs="Arial"/>
                <w:b/>
              </w:rPr>
              <w:t xml:space="preserve"> EXPERIENCE</w:t>
            </w:r>
            <w:proofErr w:type="gramEnd"/>
            <w:r w:rsidRPr="00601731">
              <w:rPr>
                <w:rFonts w:asciiTheme="minorHAnsi" w:hAnsiTheme="minorHAnsi" w:cs="Arial"/>
                <w:b/>
              </w:rPr>
              <w:t xml:space="preserve">/ </w:t>
            </w:r>
            <w:r w:rsidR="00CF70F5" w:rsidRPr="00601731">
              <w:rPr>
                <w:rFonts w:asciiTheme="minorHAnsi" w:hAnsiTheme="minorHAnsi" w:cs="Arial"/>
                <w:b/>
              </w:rPr>
              <w:t>SKILLS</w:t>
            </w:r>
          </w:p>
        </w:tc>
      </w:tr>
      <w:tr w:rsidR="00031263" w:rsidRPr="00601731" w14:paraId="31D56C02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E88835A" w14:textId="77777777" w:rsidR="00031263" w:rsidRPr="00A90D3C" w:rsidRDefault="00FC3D22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lastRenderedPageBreak/>
              <w:t xml:space="preserve">The ideal candidate is a strategic and visionary leader with extensive experience in </w:t>
            </w: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People S</w:t>
            </w:r>
            <w:r w:rsidRPr="00FC3D22">
              <w:rPr>
                <w:rFonts w:ascii="Calibri" w:eastAsia="Calibri" w:hAnsi="Calibri" w:cs="Calibri"/>
                <w:spacing w:val="1"/>
                <w:sz w:val="22"/>
                <w:szCs w:val="22"/>
              </w:rPr>
              <w:t>ervices, process transformation, and digital innovation. They must possess strong analytical and problem-solving skills, deep expertise in HR technology and payroll governance, and exceptional stakeholder management capabilities. A degree in Human Resources, Business Administration, or a related field is required, along with significant experience in a leadership role overseeing multi-functional HR teams.</w:t>
            </w:r>
          </w:p>
          <w:p w14:paraId="2E774D18" w14:textId="40D676FD" w:rsidR="00A90D3C" w:rsidRPr="00601731" w:rsidRDefault="00A90D3C" w:rsidP="00A90D3C">
            <w:pPr>
              <w:rPr>
                <w:rFonts w:asciiTheme="minorHAnsi" w:hAnsiTheme="minorHAnsi"/>
                <w:i/>
              </w:rPr>
            </w:pPr>
          </w:p>
        </w:tc>
      </w:tr>
      <w:tr w:rsidR="00031263" w:rsidRPr="00601731" w14:paraId="27260E7F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39D5DD8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 PROFESSIONAL QUALIFICATIONS</w:t>
            </w:r>
            <w:r w:rsidR="00CF70F5" w:rsidRPr="00601731">
              <w:rPr>
                <w:rFonts w:asciiTheme="minorHAnsi" w:hAnsiTheme="minorHAnsi" w:cs="Arial"/>
                <w:b/>
              </w:rPr>
              <w:t xml:space="preserve"> &amp; EDUCATION</w:t>
            </w:r>
          </w:p>
        </w:tc>
      </w:tr>
      <w:tr w:rsidR="00031263" w:rsidRPr="00601731" w14:paraId="2BCA7870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8D91A16" w14:textId="77777777" w:rsidR="00031263" w:rsidRPr="00601731" w:rsidRDefault="00031263" w:rsidP="00492914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031263" w:rsidRPr="00601731" w14:paraId="3DA9B3ED" w14:textId="77777777" w:rsidTr="6E61CA53">
        <w:trPr>
          <w:trHeight w:val="330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17B2E3E" w14:textId="77777777" w:rsidR="00031263" w:rsidRPr="00601731" w:rsidRDefault="00872989" w:rsidP="00EF133D">
            <w:pPr>
              <w:shd w:val="clear" w:color="auto" w:fill="DDECF7"/>
              <w:jc w:val="center"/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  <w:b/>
              </w:rPr>
              <w:t>TECHNICAL</w:t>
            </w:r>
            <w:proofErr w:type="gramStart"/>
            <w:r w:rsidR="003967E7" w:rsidRPr="00601731">
              <w:rPr>
                <w:rFonts w:asciiTheme="minorHAnsi" w:hAnsiTheme="minorHAnsi" w:cs="Arial"/>
                <w:b/>
              </w:rPr>
              <w:t xml:space="preserve">/ </w:t>
            </w:r>
            <w:r w:rsidRPr="00601731">
              <w:rPr>
                <w:rFonts w:asciiTheme="minorHAnsi" w:hAnsiTheme="minorHAnsi" w:cs="Arial"/>
                <w:b/>
              </w:rPr>
              <w:t xml:space="preserve"> </w:t>
            </w:r>
            <w:r w:rsidR="003967E7" w:rsidRPr="00601731">
              <w:rPr>
                <w:rFonts w:asciiTheme="minorHAnsi" w:hAnsiTheme="minorHAnsi" w:cs="Arial"/>
                <w:b/>
              </w:rPr>
              <w:t>BEHAVIOURAL</w:t>
            </w:r>
            <w:proofErr w:type="gramEnd"/>
            <w:r w:rsidR="003967E7" w:rsidRPr="00601731">
              <w:rPr>
                <w:rFonts w:asciiTheme="minorHAnsi" w:hAnsiTheme="minorHAnsi" w:cs="Arial"/>
                <w:b/>
              </w:rPr>
              <w:t xml:space="preserve">/ PERSONAL </w:t>
            </w:r>
            <w:r w:rsidR="00EF133D" w:rsidRPr="00601731">
              <w:rPr>
                <w:rFonts w:asciiTheme="minorHAnsi" w:hAnsiTheme="minorHAnsi" w:cs="Arial"/>
                <w:b/>
              </w:rPr>
              <w:t>COMPETENCIES</w:t>
            </w:r>
          </w:p>
        </w:tc>
      </w:tr>
      <w:tr w:rsidR="00872989" w:rsidRPr="00601731" w14:paraId="1C969BD6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B459887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Technical Competencies:</w:t>
            </w:r>
          </w:p>
          <w:p w14:paraId="2F3B8BFA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Proven expertise in HRIS, payroll systems, and digital HR transformation technologies.</w:t>
            </w:r>
          </w:p>
          <w:p w14:paraId="1A75C59F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Strong analytical skills with proficiency in leveraging data-driven insights for strategic decision-making.</w:t>
            </w:r>
          </w:p>
          <w:p w14:paraId="332B2966" w14:textId="420F793A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In-depth knowledge of shared services frameworks, compliance, and employment laws.</w:t>
            </w:r>
          </w:p>
          <w:p w14:paraId="19DFF038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Experience with process improvement methodologies, system integration, and automation tools.</w:t>
            </w:r>
          </w:p>
          <w:p w14:paraId="3F0F56BB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Proficiency in budget management, vendor negotiations, and cost optimisation strategies.</w:t>
            </w:r>
          </w:p>
          <w:p w14:paraId="333F5EBE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4A7F1B3A" w14:textId="66AA6DB3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Behavioural Competencies:</w:t>
            </w:r>
          </w:p>
          <w:p w14:paraId="1BFE0B0E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Exceptional leadership skills with a proven track record of inspiring and managing cross-functional teams.</w:t>
            </w:r>
          </w:p>
          <w:p w14:paraId="7BFAD992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Strategic thinking and strong decision-making abilities paired with a proactive approach to problem-solving.</w:t>
            </w:r>
          </w:p>
          <w:p w14:paraId="6179ACCC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Excellent communication and stakeholder management skills, with the ability to influence and collaborate effectively at all levels.</w:t>
            </w:r>
          </w:p>
          <w:p w14:paraId="13E70A91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Demonstrated change management capabilities and a commitment to continuous improvement.</w:t>
            </w:r>
          </w:p>
          <w:p w14:paraId="218D2B34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High accountability, adaptability, and resilience in a dynamic work environment.</w:t>
            </w:r>
          </w:p>
          <w:p w14:paraId="430AA1E1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  <w:p w14:paraId="3FBF2B27" w14:textId="21227C63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Personal Competencies:</w:t>
            </w:r>
          </w:p>
          <w:p w14:paraId="7D4F1D8F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Self-motivated and results-driven with a strong entrepreneurial mindset.</w:t>
            </w:r>
          </w:p>
          <w:p w14:paraId="5F2DE3BE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High level of emotional intelligence, empathy, and a service-oriented attitude.</w:t>
            </w:r>
          </w:p>
          <w:p w14:paraId="7E86E655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Integrity, transparency, and the ability to maintain confidentiality.</w:t>
            </w:r>
          </w:p>
          <w:p w14:paraId="183F43D1" w14:textId="77777777" w:rsidR="00A90D3C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Forward-thinking with a willingness to embrace change and new challenges.</w:t>
            </w:r>
          </w:p>
          <w:p w14:paraId="38AB6B54" w14:textId="4E1962FF" w:rsidR="00C914EE" w:rsidRPr="00A90D3C" w:rsidRDefault="00A90D3C" w:rsidP="00A90D3C">
            <w:pPr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A90D3C">
              <w:rPr>
                <w:rFonts w:ascii="Calibri" w:eastAsia="Calibri" w:hAnsi="Calibri" w:cs="Calibri"/>
                <w:spacing w:val="1"/>
                <w:sz w:val="22"/>
                <w:szCs w:val="22"/>
              </w:rPr>
              <w:t>Commitment to personal and professional development in a fast-paced, innovative setting.</w:t>
            </w:r>
          </w:p>
          <w:p w14:paraId="23415640" w14:textId="77777777" w:rsidR="0038775A" w:rsidRPr="00601731" w:rsidRDefault="0038775A" w:rsidP="00196A8F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872989" w:rsidRPr="00601731" w14:paraId="67E0B308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8E51843" w14:textId="77777777" w:rsidR="00872989" w:rsidRPr="00601731" w:rsidRDefault="00872989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/>
                <w:b/>
                <w:smallCaps/>
              </w:rPr>
              <w:t>BUSINESS SPECIFIC REQUIREMENTS</w:t>
            </w:r>
            <w:r w:rsidR="00942E7D" w:rsidRPr="00601731">
              <w:rPr>
                <w:rFonts w:asciiTheme="minorHAnsi" w:hAnsiTheme="minorHAnsi"/>
                <w:b/>
                <w:smallCaps/>
              </w:rPr>
              <w:t xml:space="preserve"> (Optional Section)</w:t>
            </w:r>
          </w:p>
        </w:tc>
      </w:tr>
      <w:tr w:rsidR="00D66408" w:rsidRPr="00601731" w14:paraId="06B34BA6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2411AF1" w14:textId="77777777" w:rsidR="00D66408" w:rsidRPr="00601731" w:rsidRDefault="00D66408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</w:tr>
      <w:tr w:rsidR="00872989" w:rsidRPr="00601731" w14:paraId="123C34BB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769C658" w14:textId="77777777" w:rsidR="00872989" w:rsidRPr="00601731" w:rsidRDefault="00872989" w:rsidP="00F515C5">
            <w:pPr>
              <w:shd w:val="clear" w:color="auto" w:fill="DDECF7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OPERATING ENVIRONMENT &amp; CONTEXT:</w:t>
            </w:r>
          </w:p>
          <w:p w14:paraId="1FEAE9CC" w14:textId="77777777" w:rsidR="00872989" w:rsidRPr="00601731" w:rsidRDefault="00872989" w:rsidP="00872989">
            <w:pPr>
              <w:rPr>
                <w:rFonts w:asciiTheme="minorHAnsi" w:hAnsiTheme="minorHAnsi" w:cs="Arial"/>
              </w:rPr>
            </w:pPr>
          </w:p>
          <w:p w14:paraId="12180A0F" w14:textId="77777777" w:rsidR="00872989" w:rsidRPr="00601731" w:rsidRDefault="00872989" w:rsidP="00F515C5">
            <w:pPr>
              <w:shd w:val="clear" w:color="auto" w:fill="DDECF7"/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t>TRAVEL &amp; OTHER REQUIREMENTS</w:t>
            </w:r>
          </w:p>
          <w:p w14:paraId="3F4697D9" w14:textId="77777777" w:rsidR="00FC7BD4" w:rsidRPr="00601731" w:rsidRDefault="00FC7BD4" w:rsidP="000719F6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276972" w:rsidRPr="00601731" w14:paraId="12DE8424" w14:textId="77777777" w:rsidTr="6E61CA5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ABF95B1" w14:textId="77777777" w:rsidR="00276972" w:rsidRPr="00601731" w:rsidRDefault="00575F3E" w:rsidP="00575F3E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ROLE DIMENSIONS</w:t>
            </w:r>
          </w:p>
        </w:tc>
      </w:tr>
      <w:tr w:rsidR="00575F3E" w:rsidRPr="00601731" w14:paraId="64E8D17B" w14:textId="77777777" w:rsidTr="6E61CA53">
        <w:trPr>
          <w:trHeight w:val="273"/>
        </w:trPr>
        <w:tc>
          <w:tcPr>
            <w:tcW w:w="1250" w:type="pct"/>
            <w:shd w:val="clear" w:color="auto" w:fill="auto"/>
          </w:tcPr>
          <w:p w14:paraId="7D800E93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34BC11C4" w14:textId="09F10C42" w:rsidR="00575F3E" w:rsidRPr="00601731" w:rsidRDefault="00A90D3C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358" w:type="pct"/>
            <w:shd w:val="clear" w:color="auto" w:fill="auto"/>
          </w:tcPr>
          <w:p w14:paraId="2E02697E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2D95BFB8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</w:p>
        </w:tc>
      </w:tr>
      <w:tr w:rsidR="00575F3E" w:rsidRPr="00601731" w14:paraId="22F103C6" w14:textId="77777777" w:rsidTr="6E61CA53">
        <w:trPr>
          <w:trHeight w:val="273"/>
        </w:trPr>
        <w:tc>
          <w:tcPr>
            <w:tcW w:w="1250" w:type="pct"/>
            <w:shd w:val="clear" w:color="auto" w:fill="auto"/>
          </w:tcPr>
          <w:p w14:paraId="52B93B24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271EBDA7" w14:textId="17CB7AB9" w:rsidR="00575F3E" w:rsidRPr="00601731" w:rsidRDefault="00A90D3C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15+</w:t>
            </w:r>
          </w:p>
        </w:tc>
        <w:tc>
          <w:tcPr>
            <w:tcW w:w="1358" w:type="pct"/>
            <w:shd w:val="clear" w:color="auto" w:fill="auto"/>
          </w:tcPr>
          <w:p w14:paraId="615E86E2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0269766E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</w:p>
        </w:tc>
      </w:tr>
      <w:tr w:rsidR="00575F3E" w:rsidRPr="00601731" w14:paraId="47801D03" w14:textId="77777777" w:rsidTr="6E61CA53">
        <w:trPr>
          <w:trHeight w:val="273"/>
        </w:trPr>
        <w:tc>
          <w:tcPr>
            <w:tcW w:w="1250" w:type="pct"/>
            <w:shd w:val="clear" w:color="auto" w:fill="auto"/>
          </w:tcPr>
          <w:p w14:paraId="132A840C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11884EB" w14:textId="338C41B8" w:rsidR="00575F3E" w:rsidRPr="00601731" w:rsidRDefault="00A90D3C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Bristol</w:t>
            </w:r>
          </w:p>
        </w:tc>
        <w:tc>
          <w:tcPr>
            <w:tcW w:w="1358" w:type="pct"/>
            <w:shd w:val="clear" w:color="auto" w:fill="auto"/>
          </w:tcPr>
          <w:p w14:paraId="04B00CEF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Other</w:t>
            </w:r>
            <w:r w:rsidR="00957961" w:rsidRPr="00601731">
              <w:rPr>
                <w:rFonts w:asciiTheme="minorHAnsi" w:hAnsiTheme="minorHAnsi" w:cs="Arial"/>
              </w:rPr>
              <w:t>/ People Manager (yes/ no)</w:t>
            </w:r>
          </w:p>
        </w:tc>
        <w:tc>
          <w:tcPr>
            <w:tcW w:w="1249" w:type="pct"/>
            <w:shd w:val="clear" w:color="auto" w:fill="auto"/>
          </w:tcPr>
          <w:p w14:paraId="70ECCCF7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</w:p>
        </w:tc>
      </w:tr>
    </w:tbl>
    <w:p w14:paraId="18E5CA8B" w14:textId="77777777" w:rsidR="00325FD3" w:rsidRPr="00601731" w:rsidRDefault="00325FD3" w:rsidP="00EF1689">
      <w:pPr>
        <w:rPr>
          <w:rFonts w:asciiTheme="minorHAnsi" w:hAnsiTheme="minorHAnsi"/>
        </w:rPr>
      </w:pPr>
    </w:p>
    <w:p w14:paraId="4297F0CA" w14:textId="77777777" w:rsidR="00325FD3" w:rsidRPr="00601731" w:rsidRDefault="0078792A" w:rsidP="00EF1689">
      <w:pPr>
        <w:rPr>
          <w:rFonts w:asciiTheme="minorHAnsi" w:hAnsiTheme="minorHAnsi"/>
        </w:rPr>
      </w:pPr>
      <w:r w:rsidRPr="00601731">
        <w:rPr>
          <w:rFonts w:asciiTheme="minorHAnsi" w:hAnsi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601731" w14:paraId="411ECA28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9FD5B5C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7A6BA6D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024AD7EB" w14:textId="77777777" w:rsidR="007B678E" w:rsidRPr="00601731" w:rsidRDefault="00400A0C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C4A1091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106A3504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5580969C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7B678E" w:rsidRPr="00601731" w14:paraId="735BB0B1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53E3CD8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FB0FBEA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53BD2ADB" w14:textId="77777777" w:rsidR="007B678E" w:rsidRPr="00601731" w:rsidRDefault="00400A0C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B21EE26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7FB9F26E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B9662DE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325FD3" w:rsidRPr="00601731" w14:paraId="74532878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1F967289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9B4AB89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5325A8B2" w14:textId="77777777" w:rsidR="00325FD3" w:rsidRPr="00601731" w:rsidRDefault="00325FD3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6C58D27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43C4FEDD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7723B20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</w:tr>
    </w:tbl>
    <w:p w14:paraId="35446886" w14:textId="77777777" w:rsidR="007B678E" w:rsidRPr="00601731" w:rsidRDefault="007B678E" w:rsidP="00EF1689">
      <w:pPr>
        <w:rPr>
          <w:rFonts w:asciiTheme="minorHAnsi" w:hAnsiTheme="minorHAnsi"/>
        </w:rPr>
      </w:pPr>
    </w:p>
    <w:sectPr w:rsidR="007B678E" w:rsidRPr="00601731" w:rsidSect="0078792A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F29D6"/>
    <w:multiLevelType w:val="multilevel"/>
    <w:tmpl w:val="4134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21A7D"/>
    <w:multiLevelType w:val="multilevel"/>
    <w:tmpl w:val="BC3CEE1E"/>
    <w:lvl w:ilvl="0">
      <w:start w:val="1"/>
      <w:numFmt w:val="bullet"/>
      <w:lvlText w:val=""/>
      <w:lvlJc w:val="left"/>
      <w:pPr>
        <w:tabs>
          <w:tab w:val="num" w:pos="524"/>
        </w:tabs>
        <w:ind w:left="5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44"/>
        </w:tabs>
        <w:ind w:left="12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B1931"/>
    <w:multiLevelType w:val="hybridMultilevel"/>
    <w:tmpl w:val="8842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1150">
    <w:abstractNumId w:val="2"/>
  </w:num>
  <w:num w:numId="2" w16cid:durableId="675423218">
    <w:abstractNumId w:val="0"/>
  </w:num>
  <w:num w:numId="3" w16cid:durableId="98192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11D8B"/>
    <w:rsid w:val="000249FB"/>
    <w:rsid w:val="00031263"/>
    <w:rsid w:val="00037A38"/>
    <w:rsid w:val="00044AE7"/>
    <w:rsid w:val="00044E89"/>
    <w:rsid w:val="0005241C"/>
    <w:rsid w:val="00063EF1"/>
    <w:rsid w:val="00064945"/>
    <w:rsid w:val="00066E1C"/>
    <w:rsid w:val="000719F6"/>
    <w:rsid w:val="000842C9"/>
    <w:rsid w:val="000A44D2"/>
    <w:rsid w:val="000C132F"/>
    <w:rsid w:val="000C7A4F"/>
    <w:rsid w:val="000D1D20"/>
    <w:rsid w:val="000E1888"/>
    <w:rsid w:val="000E2BFE"/>
    <w:rsid w:val="000E3936"/>
    <w:rsid w:val="000F5551"/>
    <w:rsid w:val="00104824"/>
    <w:rsid w:val="00106694"/>
    <w:rsid w:val="001129F6"/>
    <w:rsid w:val="00125CCF"/>
    <w:rsid w:val="001306B9"/>
    <w:rsid w:val="0013778C"/>
    <w:rsid w:val="00142C5D"/>
    <w:rsid w:val="00165B33"/>
    <w:rsid w:val="00196A8F"/>
    <w:rsid w:val="001A1A35"/>
    <w:rsid w:val="001A7B13"/>
    <w:rsid w:val="001B7D00"/>
    <w:rsid w:val="001C016F"/>
    <w:rsid w:val="001C11B9"/>
    <w:rsid w:val="001E5E38"/>
    <w:rsid w:val="001F3433"/>
    <w:rsid w:val="001F75DB"/>
    <w:rsid w:val="00200257"/>
    <w:rsid w:val="00200967"/>
    <w:rsid w:val="00212080"/>
    <w:rsid w:val="00220212"/>
    <w:rsid w:val="002370AF"/>
    <w:rsid w:val="00242006"/>
    <w:rsid w:val="00246520"/>
    <w:rsid w:val="00247AC2"/>
    <w:rsid w:val="00276972"/>
    <w:rsid w:val="00292703"/>
    <w:rsid w:val="00293B1B"/>
    <w:rsid w:val="002970EF"/>
    <w:rsid w:val="002B0A39"/>
    <w:rsid w:val="002C1B5C"/>
    <w:rsid w:val="002C2C74"/>
    <w:rsid w:val="002C4241"/>
    <w:rsid w:val="002D0A7F"/>
    <w:rsid w:val="002D3D96"/>
    <w:rsid w:val="002E42B8"/>
    <w:rsid w:val="002F73BC"/>
    <w:rsid w:val="00315047"/>
    <w:rsid w:val="00325FD3"/>
    <w:rsid w:val="00335B8E"/>
    <w:rsid w:val="00337E48"/>
    <w:rsid w:val="003430C8"/>
    <w:rsid w:val="00343947"/>
    <w:rsid w:val="00344243"/>
    <w:rsid w:val="003607C5"/>
    <w:rsid w:val="003708E3"/>
    <w:rsid w:val="00380176"/>
    <w:rsid w:val="00383188"/>
    <w:rsid w:val="0038775A"/>
    <w:rsid w:val="00391008"/>
    <w:rsid w:val="00395155"/>
    <w:rsid w:val="00395DB2"/>
    <w:rsid w:val="003967E7"/>
    <w:rsid w:val="00397C9E"/>
    <w:rsid w:val="003A7F7E"/>
    <w:rsid w:val="003C3260"/>
    <w:rsid w:val="003C73E1"/>
    <w:rsid w:val="003C7ADC"/>
    <w:rsid w:val="003D199B"/>
    <w:rsid w:val="003D3DD0"/>
    <w:rsid w:val="003D615E"/>
    <w:rsid w:val="003E6AD6"/>
    <w:rsid w:val="00400A0C"/>
    <w:rsid w:val="00430A45"/>
    <w:rsid w:val="004373F5"/>
    <w:rsid w:val="00445DA8"/>
    <w:rsid w:val="004510AA"/>
    <w:rsid w:val="00471370"/>
    <w:rsid w:val="0048016A"/>
    <w:rsid w:val="00492914"/>
    <w:rsid w:val="004B08A0"/>
    <w:rsid w:val="004C29D9"/>
    <w:rsid w:val="004C7C10"/>
    <w:rsid w:val="004D4FCD"/>
    <w:rsid w:val="004E282F"/>
    <w:rsid w:val="004E5ADC"/>
    <w:rsid w:val="004E6D73"/>
    <w:rsid w:val="00501EAD"/>
    <w:rsid w:val="00510B7D"/>
    <w:rsid w:val="00511153"/>
    <w:rsid w:val="00517D96"/>
    <w:rsid w:val="005211DE"/>
    <w:rsid w:val="00521969"/>
    <w:rsid w:val="00525B20"/>
    <w:rsid w:val="0053027E"/>
    <w:rsid w:val="005306ED"/>
    <w:rsid w:val="00535AFE"/>
    <w:rsid w:val="005402F9"/>
    <w:rsid w:val="00545E4F"/>
    <w:rsid w:val="00550C3B"/>
    <w:rsid w:val="00575F3E"/>
    <w:rsid w:val="005876F5"/>
    <w:rsid w:val="005A7356"/>
    <w:rsid w:val="005C2A5C"/>
    <w:rsid w:val="005C47AA"/>
    <w:rsid w:val="005D0128"/>
    <w:rsid w:val="005D1466"/>
    <w:rsid w:val="005F3726"/>
    <w:rsid w:val="00601731"/>
    <w:rsid w:val="00603560"/>
    <w:rsid w:val="00611841"/>
    <w:rsid w:val="00611ABC"/>
    <w:rsid w:val="006128BE"/>
    <w:rsid w:val="00617192"/>
    <w:rsid w:val="00640AA7"/>
    <w:rsid w:val="00643E1C"/>
    <w:rsid w:val="00662E44"/>
    <w:rsid w:val="00664ABD"/>
    <w:rsid w:val="0067772C"/>
    <w:rsid w:val="00680DCE"/>
    <w:rsid w:val="0069254E"/>
    <w:rsid w:val="006A2606"/>
    <w:rsid w:val="006B655E"/>
    <w:rsid w:val="006C4C5C"/>
    <w:rsid w:val="006C6C72"/>
    <w:rsid w:val="006C6EBD"/>
    <w:rsid w:val="006D54E2"/>
    <w:rsid w:val="006E1692"/>
    <w:rsid w:val="0072105E"/>
    <w:rsid w:val="00731B97"/>
    <w:rsid w:val="00733CDF"/>
    <w:rsid w:val="0073739C"/>
    <w:rsid w:val="00746133"/>
    <w:rsid w:val="007578DC"/>
    <w:rsid w:val="0076181D"/>
    <w:rsid w:val="00766088"/>
    <w:rsid w:val="007731C5"/>
    <w:rsid w:val="007845F6"/>
    <w:rsid w:val="00785C6C"/>
    <w:rsid w:val="0078792A"/>
    <w:rsid w:val="007A14F7"/>
    <w:rsid w:val="007A433A"/>
    <w:rsid w:val="007B402F"/>
    <w:rsid w:val="007B638F"/>
    <w:rsid w:val="007B678E"/>
    <w:rsid w:val="007C0FEC"/>
    <w:rsid w:val="007C2B1A"/>
    <w:rsid w:val="007C5116"/>
    <w:rsid w:val="007C51BF"/>
    <w:rsid w:val="007D6C94"/>
    <w:rsid w:val="007E083C"/>
    <w:rsid w:val="008020B0"/>
    <w:rsid w:val="00804104"/>
    <w:rsid w:val="00806519"/>
    <w:rsid w:val="008109E0"/>
    <w:rsid w:val="00813054"/>
    <w:rsid w:val="008169BB"/>
    <w:rsid w:val="00820DC5"/>
    <w:rsid w:val="00830F6C"/>
    <w:rsid w:val="00852CA4"/>
    <w:rsid w:val="0085304F"/>
    <w:rsid w:val="00853972"/>
    <w:rsid w:val="00871787"/>
    <w:rsid w:val="00872989"/>
    <w:rsid w:val="00877448"/>
    <w:rsid w:val="008866AA"/>
    <w:rsid w:val="00894B8C"/>
    <w:rsid w:val="00896B71"/>
    <w:rsid w:val="008A0622"/>
    <w:rsid w:val="008A3576"/>
    <w:rsid w:val="008A730A"/>
    <w:rsid w:val="008B0D52"/>
    <w:rsid w:val="008B1A1A"/>
    <w:rsid w:val="008B487E"/>
    <w:rsid w:val="008F3F09"/>
    <w:rsid w:val="008F4CEE"/>
    <w:rsid w:val="008F5DA4"/>
    <w:rsid w:val="00907168"/>
    <w:rsid w:val="00907866"/>
    <w:rsid w:val="0091177B"/>
    <w:rsid w:val="00916310"/>
    <w:rsid w:val="00916582"/>
    <w:rsid w:val="0092562A"/>
    <w:rsid w:val="00942E7D"/>
    <w:rsid w:val="0095087D"/>
    <w:rsid w:val="0095701E"/>
    <w:rsid w:val="00957961"/>
    <w:rsid w:val="009831CC"/>
    <w:rsid w:val="00990F3D"/>
    <w:rsid w:val="00992E40"/>
    <w:rsid w:val="009947A5"/>
    <w:rsid w:val="00997983"/>
    <w:rsid w:val="009B0A9F"/>
    <w:rsid w:val="009B450F"/>
    <w:rsid w:val="009D7B72"/>
    <w:rsid w:val="009E2F97"/>
    <w:rsid w:val="009E41E7"/>
    <w:rsid w:val="009E4A06"/>
    <w:rsid w:val="009E640B"/>
    <w:rsid w:val="009F671F"/>
    <w:rsid w:val="00A20F80"/>
    <w:rsid w:val="00A3266A"/>
    <w:rsid w:val="00A36198"/>
    <w:rsid w:val="00A567D9"/>
    <w:rsid w:val="00A5771C"/>
    <w:rsid w:val="00A6680C"/>
    <w:rsid w:val="00A90C4F"/>
    <w:rsid w:val="00A90D3C"/>
    <w:rsid w:val="00A93ED3"/>
    <w:rsid w:val="00AA365C"/>
    <w:rsid w:val="00AB5715"/>
    <w:rsid w:val="00AC0939"/>
    <w:rsid w:val="00AC34D5"/>
    <w:rsid w:val="00AD5BAC"/>
    <w:rsid w:val="00AD5F67"/>
    <w:rsid w:val="00AE3711"/>
    <w:rsid w:val="00AE4558"/>
    <w:rsid w:val="00AE4ACE"/>
    <w:rsid w:val="00AF2C8B"/>
    <w:rsid w:val="00AF33A8"/>
    <w:rsid w:val="00AF6D9B"/>
    <w:rsid w:val="00B170ED"/>
    <w:rsid w:val="00B2229B"/>
    <w:rsid w:val="00B25A07"/>
    <w:rsid w:val="00B33D24"/>
    <w:rsid w:val="00B478E4"/>
    <w:rsid w:val="00B529E1"/>
    <w:rsid w:val="00B54517"/>
    <w:rsid w:val="00B560D5"/>
    <w:rsid w:val="00B579B2"/>
    <w:rsid w:val="00B62253"/>
    <w:rsid w:val="00B76114"/>
    <w:rsid w:val="00B8067E"/>
    <w:rsid w:val="00B9269C"/>
    <w:rsid w:val="00BA479C"/>
    <w:rsid w:val="00BB2559"/>
    <w:rsid w:val="00BD55D9"/>
    <w:rsid w:val="00BE55FE"/>
    <w:rsid w:val="00BE7401"/>
    <w:rsid w:val="00BF1B76"/>
    <w:rsid w:val="00BF6E78"/>
    <w:rsid w:val="00C03C77"/>
    <w:rsid w:val="00C069FE"/>
    <w:rsid w:val="00C07D57"/>
    <w:rsid w:val="00C16F19"/>
    <w:rsid w:val="00C40271"/>
    <w:rsid w:val="00C422B3"/>
    <w:rsid w:val="00C57C7B"/>
    <w:rsid w:val="00C8485C"/>
    <w:rsid w:val="00C85184"/>
    <w:rsid w:val="00C914EE"/>
    <w:rsid w:val="00C9350D"/>
    <w:rsid w:val="00C9652C"/>
    <w:rsid w:val="00CA2CBB"/>
    <w:rsid w:val="00CA2E04"/>
    <w:rsid w:val="00CB71AF"/>
    <w:rsid w:val="00CB7254"/>
    <w:rsid w:val="00CC77A1"/>
    <w:rsid w:val="00CE00F8"/>
    <w:rsid w:val="00CE7CAA"/>
    <w:rsid w:val="00CF5DB7"/>
    <w:rsid w:val="00CF70F5"/>
    <w:rsid w:val="00D01D2F"/>
    <w:rsid w:val="00D136DA"/>
    <w:rsid w:val="00D26A10"/>
    <w:rsid w:val="00D337C6"/>
    <w:rsid w:val="00D53C8E"/>
    <w:rsid w:val="00D55AD8"/>
    <w:rsid w:val="00D65EDC"/>
    <w:rsid w:val="00D66408"/>
    <w:rsid w:val="00D723B1"/>
    <w:rsid w:val="00D751A7"/>
    <w:rsid w:val="00D865E8"/>
    <w:rsid w:val="00D96A6F"/>
    <w:rsid w:val="00DA1348"/>
    <w:rsid w:val="00DA612D"/>
    <w:rsid w:val="00DA641C"/>
    <w:rsid w:val="00DD29FA"/>
    <w:rsid w:val="00DD50E1"/>
    <w:rsid w:val="00DE42C2"/>
    <w:rsid w:val="00DE62CF"/>
    <w:rsid w:val="00E0134E"/>
    <w:rsid w:val="00E037B3"/>
    <w:rsid w:val="00E044C0"/>
    <w:rsid w:val="00E10801"/>
    <w:rsid w:val="00E11B7C"/>
    <w:rsid w:val="00E211F5"/>
    <w:rsid w:val="00E223B0"/>
    <w:rsid w:val="00E277E6"/>
    <w:rsid w:val="00E3577A"/>
    <w:rsid w:val="00E43CFC"/>
    <w:rsid w:val="00E6232C"/>
    <w:rsid w:val="00E92525"/>
    <w:rsid w:val="00E94429"/>
    <w:rsid w:val="00EB224E"/>
    <w:rsid w:val="00EC38F4"/>
    <w:rsid w:val="00EC4DC1"/>
    <w:rsid w:val="00ED06E3"/>
    <w:rsid w:val="00ED10E4"/>
    <w:rsid w:val="00ED4C07"/>
    <w:rsid w:val="00EF133D"/>
    <w:rsid w:val="00EF1689"/>
    <w:rsid w:val="00EF78FE"/>
    <w:rsid w:val="00F01262"/>
    <w:rsid w:val="00F20D04"/>
    <w:rsid w:val="00F32701"/>
    <w:rsid w:val="00F35A43"/>
    <w:rsid w:val="00F35AFF"/>
    <w:rsid w:val="00F43200"/>
    <w:rsid w:val="00F50958"/>
    <w:rsid w:val="00F515C5"/>
    <w:rsid w:val="00F6759F"/>
    <w:rsid w:val="00F70A4F"/>
    <w:rsid w:val="00F9134E"/>
    <w:rsid w:val="00F96C88"/>
    <w:rsid w:val="00FA0189"/>
    <w:rsid w:val="00FA030F"/>
    <w:rsid w:val="00FA1389"/>
    <w:rsid w:val="00FC3D22"/>
    <w:rsid w:val="00FC7BD4"/>
    <w:rsid w:val="00FD1432"/>
    <w:rsid w:val="00FD6FDA"/>
    <w:rsid w:val="00FF3455"/>
    <w:rsid w:val="04AFF3BB"/>
    <w:rsid w:val="0B15EF1A"/>
    <w:rsid w:val="1232EA26"/>
    <w:rsid w:val="1259345E"/>
    <w:rsid w:val="2FAABB63"/>
    <w:rsid w:val="3E47BCC1"/>
    <w:rsid w:val="3E9A4909"/>
    <w:rsid w:val="454DA398"/>
    <w:rsid w:val="454E688E"/>
    <w:rsid w:val="462615A9"/>
    <w:rsid w:val="501EBB11"/>
    <w:rsid w:val="5AA2B442"/>
    <w:rsid w:val="69975B55"/>
    <w:rsid w:val="6DCD2BA5"/>
    <w:rsid w:val="6E61CA53"/>
    <w:rsid w:val="74981FA9"/>
    <w:rsid w:val="754C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995AC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B9EA3160F54428AAFD47CFC3F891C" ma:contentTypeVersion="13" ma:contentTypeDescription="Create a new document." ma:contentTypeScope="" ma:versionID="5e98e73c7fc0285464f50f87e006f330">
  <xsd:schema xmlns:xsd="http://www.w3.org/2001/XMLSchema" xmlns:xs="http://www.w3.org/2001/XMLSchema" xmlns:p="http://schemas.microsoft.com/office/2006/metadata/properties" xmlns:ns3="43afbffd-e714-43be-8a0d-2a61c9f19144" xmlns:ns4="6cff403c-a4b8-4bfb-b974-969ea52e3662" targetNamespace="http://schemas.microsoft.com/office/2006/metadata/properties" ma:root="true" ma:fieldsID="44a38ce729a4a39e71b4db754c28de4d" ns3:_="" ns4:_="">
    <xsd:import namespace="43afbffd-e714-43be-8a0d-2a61c9f19144"/>
    <xsd:import namespace="6cff403c-a4b8-4bfb-b974-969ea52e3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fbffd-e714-43be-8a0d-2a61c9f19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403c-a4b8-4bfb-b974-969ea52e3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DC019D-B3C5-4ED4-BE2C-7EB8A665D49A}">
  <ds:schemaRefs>
    <ds:schemaRef ds:uri="43afbffd-e714-43be-8a0d-2a61c9f19144"/>
    <ds:schemaRef ds:uri="http://schemas.microsoft.com/office/infopath/2007/PartnerControls"/>
    <ds:schemaRef ds:uri="6cff403c-a4b8-4bfb-b974-969ea52e3662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31D935-3A13-4B15-948D-81D41106B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fbffd-e714-43be-8a0d-2a61c9f19144"/>
    <ds:schemaRef ds:uri="6cff403c-a4b8-4bfb-b974-969ea52e3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676</Words>
  <Characters>4717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Imy Hayes</cp:lastModifiedBy>
  <cp:revision>2</cp:revision>
  <cp:lastPrinted>2017-01-03T16:24:00Z</cp:lastPrinted>
  <dcterms:created xsi:type="dcterms:W3CDTF">2025-03-04T15:39:00Z</dcterms:created>
  <dcterms:modified xsi:type="dcterms:W3CDTF">2025-03-04T15:39:00Z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0x010100AFAB9EA3160F54428AAFD47CFC3F891C</vt:lpwstr>
  </property>
</Properties>
</file>