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6712" w14:textId="15CB8968" w:rsidR="00B05272" w:rsidRPr="009A04AF" w:rsidRDefault="00296F9A" w:rsidP="0060428E">
      <w:pPr>
        <w:spacing w:after="0"/>
        <w:ind w:left="3600" w:firstLine="720"/>
        <w:rPr>
          <w:rFonts w:asciiTheme="majorHAnsi" w:hAnsiTheme="majorHAnsi" w:cstheme="majorHAnsi"/>
        </w:rPr>
      </w:pPr>
      <w:r w:rsidRPr="009A04AF">
        <w:rPr>
          <w:rFonts w:asciiTheme="majorHAnsi" w:hAnsiTheme="majorHAnsi" w:cstheme="majorHAnsi"/>
          <w:b/>
        </w:rPr>
        <w:t>ROLE</w:t>
      </w:r>
      <w:r w:rsidR="0060428E" w:rsidRPr="009A04AF">
        <w:rPr>
          <w:rFonts w:asciiTheme="majorHAnsi" w:hAnsiTheme="majorHAnsi" w:cstheme="majorHAnsi"/>
          <w:b/>
        </w:rPr>
        <w:t xml:space="preserve"> </w:t>
      </w:r>
      <w:r w:rsidRPr="009A04AF">
        <w:rPr>
          <w:rFonts w:asciiTheme="majorHAnsi" w:hAnsiTheme="majorHAnsi" w:cstheme="majorHAnsi"/>
          <w:b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3"/>
        <w:gridCol w:w="3058"/>
        <w:gridCol w:w="1183"/>
        <w:gridCol w:w="3811"/>
        <w:gridCol w:w="161"/>
      </w:tblGrid>
      <w:tr w:rsidR="00B05272" w:rsidRPr="009A04AF" w14:paraId="64576597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Role Title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0EDF6735" w:rsidR="00B05272" w:rsidRPr="009A04AF" w:rsidRDefault="009C5B76" w:rsidP="00454C5A">
            <w:pPr>
              <w:pStyle w:val="NormalWeb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Senior </w:t>
            </w:r>
            <w:r w:rsidR="00481565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ER Specialist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Location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643" w14:textId="77777777" w:rsidR="00B05272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Glasgow/ Bristol/ Dublin/ London</w:t>
            </w:r>
          </w:p>
          <w:p w14:paraId="50338A8F" w14:textId="044A3464" w:rsidR="001A383F" w:rsidRPr="009A04AF" w:rsidRDefault="001A38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 Working</w:t>
            </w:r>
          </w:p>
        </w:tc>
      </w:tr>
      <w:tr w:rsidR="00B05272" w:rsidRPr="009A04AF" w14:paraId="4EE69A40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56E1F078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Job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055FFE7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 Advice</w:t>
            </w:r>
          </w:p>
        </w:tc>
      </w:tr>
      <w:tr w:rsidR="00B05272" w:rsidRPr="009A04AF" w14:paraId="209CF459" w14:textId="77777777" w:rsidTr="00917B77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661880D1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HR Advice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Sub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FB31440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5512BD99" w:rsidR="00B05272" w:rsidRPr="009A04AF" w:rsidRDefault="004815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996C039" w14:textId="77777777" w:rsidTr="00917B77">
        <w:trPr>
          <w:trHeight w:val="2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Financial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ED7B2D0" w14:textId="77777777" w:rsidTr="00917B77">
        <w:trPr>
          <w:trHeight w:val="28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Respons</w:t>
            </w:r>
            <w:proofErr w:type="spellEnd"/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Other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33B91230" w:rsidR="00B05272" w:rsidRPr="009A04AF" w:rsidRDefault="00C86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Travel required</w:t>
            </w:r>
          </w:p>
        </w:tc>
      </w:tr>
      <w:tr w:rsidR="00B05272" w:rsidRPr="009A04AF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9A04AF" w:rsidRDefault="00296F9A">
            <w:pPr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PURPOSE</w:t>
            </w:r>
          </w:p>
        </w:tc>
      </w:tr>
      <w:tr w:rsidR="00B05272" w:rsidRPr="009A04AF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36DCD" w14:textId="248B0758" w:rsidR="00B05272" w:rsidRPr="009A04AF" w:rsidRDefault="005C28DF" w:rsidP="004525EA">
            <w:pPr>
              <w:pStyle w:val="NormalWeb"/>
              <w:tabs>
                <w:tab w:val="left" w:pos="1860"/>
              </w:tabs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A04AF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C&amp;C Group plc is a premium drinks company which owns, manufactures, markets and distributes a unique portfolio of beer and cider brands in its home markets and across the globe. You probably know us best from brands like Bulmers, Magners and Tennent’s.</w:t>
            </w:r>
            <w:r w:rsidR="004525EA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ab/>
            </w:r>
          </w:p>
          <w:p w14:paraId="64C5E731" w14:textId="29C8C117" w:rsidR="00697939" w:rsidRPr="00EE7713" w:rsidRDefault="00755EE7" w:rsidP="00EE7713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Working </w:t>
            </w:r>
            <w:r w:rsidR="008D65F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as a senior member of a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collaborati</w:t>
            </w:r>
            <w:r w:rsidR="001F423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ve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team of ER Specialists 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supporting the diverse </w:t>
            </w:r>
            <w:r w:rsidR="00744FC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organisational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function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905793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within the C&amp;C Group plc across the UK and Ireland. 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The </w:t>
            </w:r>
            <w:r w:rsidR="008D65F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Senior 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ER 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pecial</w:t>
            </w:r>
            <w:r w:rsidR="00031DE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ist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will</w:t>
            </w:r>
            <w:r w:rsidR="00580772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1046CC" w:rsidRPr="009A04AF">
              <w:rPr>
                <w:rFonts w:asciiTheme="majorHAnsi" w:hAnsiTheme="majorHAnsi" w:cstheme="majorHAnsi"/>
                <w:sz w:val="20"/>
                <w:szCs w:val="20"/>
              </w:rPr>
              <w:t>champion best practices</w:t>
            </w:r>
            <w:r w:rsidR="00DE3C90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 and foster </w:t>
            </w:r>
            <w:r w:rsidR="00580772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positive</w:t>
            </w:r>
            <w:r w:rsidR="00481565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employment relationship</w:t>
            </w:r>
            <w:r w:rsidR="00DE3C90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</w:t>
            </w:r>
            <w:r w:rsidR="00481565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between our colleagues and the </w:t>
            </w:r>
            <w:r w:rsidR="00744FC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through </w:t>
            </w:r>
            <w:r w:rsidR="002F6EAA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inclusive, proactive and pragmatic</w:t>
            </w:r>
            <w:r w:rsidR="004B3FB1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627CE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employee relation practices including </w:t>
            </w:r>
            <w:r w:rsidR="0084309D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organisational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policies and procedures. </w:t>
            </w:r>
            <w:r w:rsidR="00DE439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Working closely with the HR Advice Manager</w:t>
            </w:r>
            <w:r w:rsidR="00FF5A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and </w:t>
            </w:r>
            <w:r w:rsidR="00DE439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deputising for them in their absence</w:t>
            </w:r>
            <w:r w:rsidR="000376F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43CFBD3" w14:textId="4164AB74" w:rsidR="00AB3418" w:rsidRPr="009A04AF" w:rsidRDefault="00970329" w:rsidP="00AB3418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</w:t>
            </w:r>
            <w:r w:rsidR="004262A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technical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e</w:t>
            </w:r>
            <w:r w:rsidR="00DF47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xpert</w:t>
            </w:r>
            <w:r w:rsidR="00F06F6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 the wide range of legal provisions that apply</w:t>
            </w:r>
            <w:r w:rsidR="00B9441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across the UK &amp; Ireland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in managing employee relations,</w:t>
            </w:r>
            <w:r w:rsidR="00DF47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ensuring the </w:t>
            </w:r>
            <w:r w:rsidR="00DF47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revision and 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continuous development of policies and procedures to maintain compliance with employment l</w:t>
            </w:r>
            <w:r w:rsidR="00B9441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egislation</w:t>
            </w:r>
            <w:r w:rsidR="00697939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. </w:t>
            </w:r>
            <w:r w:rsidR="00AB3418" w:rsidRPr="008A520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Harness trus</w:t>
            </w:r>
            <w:r w:rsidR="00AB3418" w:rsidRPr="00F71E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ted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relationships with </w:t>
            </w:r>
            <w:r w:rsidR="00F71E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key stakeholders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across the </w:t>
            </w:r>
            <w:r w:rsidR="00744FC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organisation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providing </w:t>
            </w:r>
            <w:r w:rsidR="00F71EC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tailored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advice on the resolution of </w:t>
            </w:r>
            <w:r w:rsidR="005123E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complex </w:t>
            </w:r>
            <w:r w:rsidR="00AB3418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employee relation </w:t>
            </w:r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matters in </w:t>
            </w:r>
            <w:proofErr w:type="gramStart"/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end to end</w:t>
            </w:r>
            <w:proofErr w:type="gramEnd"/>
            <w:r w:rsidR="00AB3418"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case management. </w:t>
            </w:r>
          </w:p>
          <w:p w14:paraId="4A7BC07B" w14:textId="75EECDAD" w:rsidR="00060347" w:rsidRPr="007E6753" w:rsidRDefault="00AB3418" w:rsidP="007E6753">
            <w:pPr>
              <w:pStyle w:val="NormalWeb"/>
              <w:tabs>
                <w:tab w:val="left" w:pos="1860"/>
              </w:tabs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Accountable for </w:t>
            </w:r>
            <w:r w:rsidR="0072322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communicating </w:t>
            </w:r>
            <w:r w:rsidR="00AF4AD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key legislative changes</w:t>
            </w:r>
            <w:r w:rsidR="0072322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to people managers</w:t>
            </w:r>
            <w:r w:rsidR="00AF4ADB"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</w:t>
            </w:r>
            <w:r w:rsidRPr="009A04A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supporting their development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through coaching and the </w:t>
            </w:r>
            <w:r w:rsidRPr="009A04A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facilitation of training </w:t>
            </w:r>
            <w:r w:rsidRPr="009A04AF">
              <w:rPr>
                <w:rFonts w:asciiTheme="majorHAnsi" w:hAnsiTheme="majorHAnsi" w:cstheme="majorHAnsi"/>
                <w:sz w:val="20"/>
                <w:szCs w:val="20"/>
              </w:rPr>
              <w:t>enhancing capability and minimising risk.</w:t>
            </w:r>
            <w:r w:rsidRPr="009A04AF">
              <w:rPr>
                <w:rFonts w:asciiTheme="majorHAnsi" w:hAnsiTheme="majorHAnsi" w:cstheme="majorHAnsi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r w:rsidR="000B6FC4" w:rsidRPr="009A04AF">
              <w:rPr>
                <w:rFonts w:asciiTheme="majorHAnsi" w:hAnsiTheme="majorHAnsi" w:cstheme="majorHAnsi"/>
                <w:sz w:val="20"/>
                <w:szCs w:val="20"/>
              </w:rPr>
              <w:t>Contribute to a culture of continuous improvement w</w:t>
            </w:r>
            <w:r w:rsidR="00C60AD6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orking closely with the HR Business Partnering Team </w:t>
            </w:r>
            <w:r w:rsidR="000B3E4A" w:rsidRPr="009A04AF">
              <w:rPr>
                <w:rFonts w:asciiTheme="majorHAnsi" w:hAnsiTheme="majorHAnsi" w:cstheme="majorHAnsi"/>
                <w:sz w:val="20"/>
                <w:szCs w:val="20"/>
              </w:rPr>
              <w:t xml:space="preserve">and other HR Functions, focusing on partnership, delivery and shared learning. </w:t>
            </w:r>
          </w:p>
          <w:p w14:paraId="63E1460B" w14:textId="2D0A8E0B" w:rsidR="000376FC" w:rsidRPr="009A04AF" w:rsidRDefault="000376FC" w:rsidP="00DE234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9A04AF" w:rsidRDefault="00296F9A">
            <w:pPr>
              <w:ind w:right="5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9A04AF" w14:paraId="6089093E" w14:textId="77777777" w:rsidTr="00333397">
        <w:trPr>
          <w:trHeight w:val="2643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1D5906" w14:textId="77777777" w:rsidR="00286BF7" w:rsidRPr="00DB006D" w:rsidRDefault="00286BF7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86F571" w14:textId="2003F010" w:rsidR="00AF4ADB" w:rsidRPr="00DB006D" w:rsidRDefault="00AF4ADB" w:rsidP="00AF4ADB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Employee Relations Case Management</w:t>
            </w:r>
          </w:p>
          <w:p w14:paraId="1052B074" w14:textId="54FEAE75" w:rsidR="00AF4ADB" w:rsidRPr="00DB006D" w:rsidRDefault="00AF4ADB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Provide</w:t>
            </w:r>
            <w:r w:rsidR="00490B6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0292F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tailored</w:t>
            </w:r>
            <w:r w:rsidR="00157D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advice and guidance to managers</w:t>
            </w:r>
            <w:r w:rsidR="00D05E8E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across a range of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0292F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complex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employee relations </w:t>
            </w:r>
            <w:r w:rsidR="00333397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matters.</w:t>
            </w:r>
          </w:p>
          <w:p w14:paraId="614DE5DF" w14:textId="3190FBCA" w:rsidR="0033688D" w:rsidRPr="00DB006D" w:rsidRDefault="00157DB1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 xml:space="preserve">Take ownership of casework from initial report through to completion, coaching managers to achieve </w:t>
            </w:r>
            <w:r w:rsidR="0033688D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good solutions</w:t>
            </w:r>
            <w:r w:rsidR="00333397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.</w:t>
            </w:r>
          </w:p>
          <w:p w14:paraId="782A49E1" w14:textId="43B36268" w:rsidR="004E6B55" w:rsidRPr="00DB006D" w:rsidRDefault="00963596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Minimis</w:t>
            </w:r>
            <w:r w:rsidR="002F083C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risk to the</w:t>
            </w:r>
            <w:r w:rsidR="00744FC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organisation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by </w:t>
            </w:r>
            <w:r w:rsidR="00C87D2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ensuring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 practices are</w:t>
            </w:r>
            <w:r w:rsidR="004E6B55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accordance with legislation and company policies</w:t>
            </w:r>
            <w:r w:rsidR="00895596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whilst balancing operational </w:t>
            </w:r>
            <w:r w:rsidR="00333397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requirements. </w:t>
            </w:r>
          </w:p>
          <w:p w14:paraId="5A9215AE" w14:textId="43CBBD7E" w:rsidR="00736A8E" w:rsidRPr="00DB006D" w:rsidRDefault="00736A8E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Developing working practices </w:t>
            </w:r>
            <w:r w:rsidR="00CD34E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for case management, improving service delivery and legal compliance. </w:t>
            </w:r>
          </w:p>
          <w:p w14:paraId="19E85368" w14:textId="49237028" w:rsidR="000047D1" w:rsidRPr="00DB006D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Provide direct and in person support for complex and </w:t>
            </w:r>
            <w:proofErr w:type="gramStart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high risk</w:t>
            </w:r>
            <w:proofErr w:type="gramEnd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cases where necessary.</w:t>
            </w:r>
          </w:p>
          <w:p w14:paraId="0CFBDE39" w14:textId="77777777" w:rsidR="005422A4" w:rsidRPr="00DB006D" w:rsidRDefault="005422A4" w:rsidP="00827BAD">
            <w:pPr>
              <w:pStyle w:val="Defaul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1700C0C" w14:textId="001F62E7" w:rsidR="005422A4" w:rsidRPr="00DB006D" w:rsidRDefault="005422A4" w:rsidP="00827BAD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 xml:space="preserve">Organisational Change </w:t>
            </w:r>
          </w:p>
          <w:p w14:paraId="2914D4D4" w14:textId="5CD503F5" w:rsidR="00FB365A" w:rsidRPr="00DB006D" w:rsidRDefault="009903F7" w:rsidP="00FB365A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Collaborate with </w:t>
            </w:r>
            <w:r w:rsidR="00FB365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HR Business Partners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on</w:t>
            </w:r>
            <w:r w:rsidR="00FB365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Organisational change projects </w:t>
            </w:r>
            <w:proofErr w:type="gramStart"/>
            <w:r w:rsidR="00FB365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="00FB365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reorganisation, redundancy and TUPE programmes.</w:t>
            </w:r>
          </w:p>
          <w:p w14:paraId="44510664" w14:textId="7012D887" w:rsidR="00415997" w:rsidRPr="00DB006D" w:rsidRDefault="00FB365A" w:rsidP="00415997">
            <w:pPr>
              <w:pStyle w:val="Default"/>
              <w:numPr>
                <w:ilvl w:val="0"/>
                <w:numId w:val="24"/>
              </w:numPr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Accountable </w:t>
            </w:r>
            <w:r w:rsidR="0061296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for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ensuring </w:t>
            </w:r>
            <w:r w:rsidR="003E08EF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organisational engagement in </w:t>
            </w:r>
            <w:r w:rsidR="0061296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meaningful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consultation </w:t>
            </w:r>
            <w:r w:rsidR="0061296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with colleagues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compliance</w:t>
            </w:r>
            <w:r w:rsidR="00991A8F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422A4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legislative requirements</w:t>
            </w:r>
            <w:r w:rsidR="00991A8F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.</w:t>
            </w:r>
          </w:p>
          <w:p w14:paraId="516A9633" w14:textId="28DF35BB" w:rsidR="00415997" w:rsidRPr="00DB006D" w:rsidRDefault="00415997" w:rsidP="00415997">
            <w:pPr>
              <w:pStyle w:val="Default"/>
              <w:numPr>
                <w:ilvl w:val="0"/>
                <w:numId w:val="24"/>
              </w:numPr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 xml:space="preserve">Develop best practice </w:t>
            </w:r>
            <w:r w:rsidR="004E69A3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 xml:space="preserve">guidance and </w:t>
            </w:r>
            <w:r w:rsidR="006A143D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 xml:space="preserve">supporting </w:t>
            </w:r>
            <w:r w:rsidR="004E69A3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documentation for organisational change processes</w:t>
            </w:r>
            <w:r w:rsidR="00875047" w:rsidRPr="00DB006D"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  <w:t>.</w:t>
            </w:r>
          </w:p>
          <w:p w14:paraId="29C21864" w14:textId="462EC89D" w:rsidR="005422A4" w:rsidRPr="00DB006D" w:rsidRDefault="00DE2348" w:rsidP="00827BAD">
            <w:pPr>
              <w:pStyle w:val="Default"/>
              <w:numPr>
                <w:ilvl w:val="0"/>
                <w:numId w:val="24"/>
              </w:numPr>
              <w:rPr>
                <w:rFonts w:asciiTheme="majorHAnsi" w:eastAsia="BasicCommercial LT Com Light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Aligned to the HR Strategy, </w:t>
            </w:r>
            <w:r w:rsidR="006D698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lead </w:t>
            </w:r>
            <w:r w:rsidR="0061296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other </w:t>
            </w:r>
            <w:r w:rsidR="00823EA8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key projects within the wider HR Team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656388C9" w14:textId="77777777" w:rsidR="00827BAD" w:rsidRPr="00DB006D" w:rsidRDefault="00827BAD" w:rsidP="00827BA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9A4540" w14:textId="77777777" w:rsidR="00D30D9D" w:rsidRPr="00DB006D" w:rsidRDefault="00D30D9D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Policies and Procedures Development</w:t>
            </w:r>
          </w:p>
          <w:p w14:paraId="1C5F6E4F" w14:textId="08E218FE" w:rsidR="00D30D9D" w:rsidRPr="00DB006D" w:rsidRDefault="00415997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Lead the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development, </w:t>
            </w:r>
            <w:r w:rsidR="00807BBF" w:rsidRPr="00DB006D">
              <w:rPr>
                <w:rFonts w:asciiTheme="majorHAnsi" w:hAnsiTheme="majorHAnsi" w:cstheme="majorHAnsi"/>
                <w:sz w:val="20"/>
                <w:szCs w:val="20"/>
              </w:rPr>
              <w:t>engagement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BB26CF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implementation 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="00BB26CF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policies and </w:t>
            </w:r>
            <w:r w:rsidR="00275E6B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procedures 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>to support the organisation</w:t>
            </w:r>
            <w:r w:rsidR="00275E6B" w:rsidRPr="00DB00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compliance with</w:t>
            </w:r>
            <w:r w:rsidR="00275E6B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external legislation and </w:t>
            </w:r>
            <w:r w:rsidR="00D30D9D" w:rsidRPr="00DB006D">
              <w:rPr>
                <w:rFonts w:asciiTheme="majorHAnsi" w:hAnsiTheme="majorHAnsi" w:cstheme="majorHAnsi"/>
                <w:sz w:val="20"/>
                <w:szCs w:val="20"/>
              </w:rPr>
              <w:t>regulations.</w:t>
            </w:r>
          </w:p>
          <w:p w14:paraId="6D69D696" w14:textId="7124E29A" w:rsidR="007C6655" w:rsidRPr="00DB006D" w:rsidRDefault="007C66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Responsible for maintaining and revising current documentation </w:t>
            </w:r>
            <w:proofErr w:type="gramStart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policies, procedures, contracts and guidance that pertain</w:t>
            </w:r>
            <w:r w:rsidR="00F0798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information relating to employment legislation.</w:t>
            </w:r>
          </w:p>
          <w:p w14:paraId="03D1E1D4" w14:textId="15BFFE5E" w:rsidR="00275E6B" w:rsidRPr="00DB006D" w:rsidRDefault="00275E6B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Develop guidance and </w:t>
            </w:r>
            <w:r w:rsidR="00397CF0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internal resources to support </w:t>
            </w:r>
            <w:r w:rsidR="003D0FB7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managers and the wider </w:t>
            </w:r>
            <w:r w:rsidR="00A12CA2" w:rsidRPr="00DB006D"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  <w:r w:rsidR="00397CF0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in the application of policies and </w:t>
            </w:r>
            <w:r w:rsidR="00397CF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procedures.</w:t>
            </w:r>
          </w:p>
          <w:p w14:paraId="25118A6E" w14:textId="2988290F" w:rsidR="00A12CA2" w:rsidRPr="00DB006D" w:rsidRDefault="00A12CA2" w:rsidP="00A12CA2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Identify risks and instances of noncompliance with the organisation's policies and procedures addressing this directly or escalating issues as appropriate.</w:t>
            </w:r>
          </w:p>
          <w:p w14:paraId="53071B5C" w14:textId="77777777" w:rsidR="00BC603E" w:rsidRPr="00DB006D" w:rsidRDefault="00BC603E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6A5B00" w14:textId="1E3CFFE4" w:rsidR="00D30D9D" w:rsidRPr="00DB006D" w:rsidRDefault="00D30D9D" w:rsidP="00D30D9D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lastRenderedPageBreak/>
              <w:t xml:space="preserve">Internal Relationship </w:t>
            </w:r>
            <w:r w:rsidR="00E22682"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Engagement </w:t>
            </w:r>
          </w:p>
          <w:p w14:paraId="0B31ADE0" w14:textId="5C2AAA7F" w:rsidR="00D30D9D" w:rsidRPr="00DB006D" w:rsidRDefault="00D30D9D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Build effective working relationships within the internal </w:t>
            </w:r>
            <w:r w:rsidR="00175B8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stakeholder</w:t>
            </w:r>
            <w:r w:rsidR="0086362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</w:t>
            </w:r>
            <w:r w:rsidR="00A172D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representing the function and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delivering high-quality professional services</w:t>
            </w:r>
            <w:r w:rsidR="00E2268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</w:p>
          <w:p w14:paraId="1752E4F0" w14:textId="2EDBFDD5" w:rsidR="00287286" w:rsidRPr="00DB006D" w:rsidRDefault="00287286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Welcome challenge and </w:t>
            </w:r>
            <w:r w:rsidR="0023290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varying opinions in all interactions, seeking to </w:t>
            </w:r>
            <w:r w:rsidR="00F56DD6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find the best solution and considering varying views across the organisation.</w:t>
            </w:r>
          </w:p>
          <w:p w14:paraId="175D194C" w14:textId="3E9C9026" w:rsidR="004E6B55" w:rsidRPr="00DB006D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Coach and support managers in </w:t>
            </w:r>
            <w:r w:rsidR="00CD599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complex</w:t>
            </w:r>
            <w:r w:rsidR="00A172D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people management </w:t>
            </w:r>
            <w:r w:rsidR="00CD599D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matters </w:t>
            </w:r>
            <w:proofErr w:type="gramStart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including;</w:t>
            </w:r>
            <w:proofErr w:type="gramEnd"/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performance management, disciplinary, absence management, capability and grievance processes to ensure compliance to both company policy and employment legislation </w:t>
            </w:r>
            <w:r w:rsidR="00EC371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as well as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mitigate risk.</w:t>
            </w:r>
          </w:p>
          <w:p w14:paraId="63A4C8B7" w14:textId="77777777" w:rsidR="004E6B55" w:rsidRPr="00DB006D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Adopt a continuous improvement approach and encourage managers to identify and implement key learnings and improvements. </w:t>
            </w:r>
          </w:p>
          <w:p w14:paraId="40CAB840" w14:textId="4D7A8CA5" w:rsidR="00E734A9" w:rsidRPr="00DB006D" w:rsidRDefault="00E756A2" w:rsidP="00E734A9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Host </w:t>
            </w:r>
            <w:r w:rsidR="00EC371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regular stakeholder engagement conversations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 key business </w:t>
            </w:r>
            <w:r w:rsidR="00EC371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functions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to discuss HR metrics</w:t>
            </w:r>
            <w:r w:rsidR="00EC371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trends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current employee relations matters. </w:t>
            </w:r>
          </w:p>
          <w:p w14:paraId="082A99B7" w14:textId="47141272" w:rsidR="00647FB5" w:rsidRPr="00DB006D" w:rsidRDefault="004E2981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Lead</w:t>
            </w:r>
            <w:r w:rsidR="00EC371A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the development</w:t>
            </w:r>
            <w:r w:rsidR="00647FB5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facilitate people management training enhancing capability </w:t>
            </w:r>
            <w:r w:rsidR="00EC371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and knowledge.</w:t>
            </w:r>
          </w:p>
          <w:p w14:paraId="68328FD6" w14:textId="75547FF2" w:rsidR="00EC371A" w:rsidRPr="00DB006D" w:rsidRDefault="00DA19C9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Build collaborative relationships with HR Business Partners</w:t>
            </w:r>
            <w:r w:rsidR="0068456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identifying trends </w:t>
            </w:r>
            <w:r w:rsidR="00A871D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within their organisational areas and providing timely updates on high risk and sensitive matters</w:t>
            </w:r>
            <w:r w:rsidR="0038540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7EBA333F" w14:textId="126E2EDD" w:rsidR="00B10165" w:rsidRPr="00DB006D" w:rsidRDefault="00B1016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Coach ER Specialists, </w:t>
            </w:r>
            <w:r w:rsidR="005830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imparting knowledge and sharing expertise at all opportunities to build the capability of the ER function</w:t>
            </w:r>
          </w:p>
          <w:p w14:paraId="793F0338" w14:textId="77777777" w:rsidR="00AF4ADB" w:rsidRPr="00DB006D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B2F0E8" w14:textId="2E1FCE0D" w:rsidR="00286BF7" w:rsidRPr="00DB006D" w:rsidRDefault="00286BF7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External </w:t>
            </w:r>
            <w:r w:rsidR="00E734A9"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Relationship Management</w:t>
            </w:r>
          </w:p>
          <w:p w14:paraId="37E873DA" w14:textId="399E65D6" w:rsidR="006A2F77" w:rsidRPr="00DB006D" w:rsidRDefault="006A2F77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Liaise with ACAS</w:t>
            </w:r>
            <w:r w:rsidR="008B7D8C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WRC</w:t>
            </w:r>
            <w:r w:rsidR="00FA7E3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Employment Tribunal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</w:t>
            </w:r>
            <w:r w:rsidR="00A871D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or external legal counsel regarding </w:t>
            </w:r>
            <w:r w:rsidR="00077A68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dispute resolution matters,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collaborat</w:t>
            </w:r>
            <w:r w:rsidR="00077A68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ing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with HR Business Partners</w:t>
            </w:r>
            <w:r w:rsidR="00A1519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Stakeholders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 each stage of the process.</w:t>
            </w:r>
          </w:p>
          <w:p w14:paraId="788E7AEB" w14:textId="4830059F" w:rsidR="006F7B6C" w:rsidRPr="00DB006D" w:rsidRDefault="006A2F77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Collaborate</w:t>
            </w:r>
            <w:r w:rsidR="00D87553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with third party providers such as Occupational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="00D87553" w:rsidRPr="00DB006D">
              <w:rPr>
                <w:rFonts w:asciiTheme="majorHAnsi" w:hAnsiTheme="majorHAnsi" w:cstheme="majorHAnsi"/>
                <w:sz w:val="20"/>
                <w:szCs w:val="20"/>
              </w:rPr>
              <w:t>ealth and other medical services to support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Manager in seeking information</w:t>
            </w:r>
            <w:r w:rsidR="006F7B6C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and guidance</w:t>
            </w:r>
            <w:r w:rsidR="0038540A" w:rsidRPr="00DB006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93F974C" w14:textId="49651606" w:rsidR="00D87553" w:rsidRPr="00DB006D" w:rsidRDefault="00D87553" w:rsidP="00020F9B">
            <w:pPr>
              <w:pStyle w:val="Default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D69ABE9" w14:textId="44845255" w:rsidR="00AF4ADB" w:rsidRPr="00DB006D" w:rsidRDefault="00373A19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Documentation, Data and Analysis </w:t>
            </w:r>
          </w:p>
          <w:p w14:paraId="71115484" w14:textId="36F8A245" w:rsidR="00984962" w:rsidRPr="00DB006D" w:rsidRDefault="006F7B6C" w:rsidP="00AF4ADB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Maintain </w:t>
            </w:r>
            <w:r w:rsidR="00B02FCC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accurate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up to date records on all </w:t>
            </w:r>
            <w:r w:rsidR="00E616F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matters within the case log</w:t>
            </w:r>
            <w:r w:rsidR="00085379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03475FAF" w14:textId="73424E0F" w:rsidR="00C93BE0" w:rsidRPr="00DB006D" w:rsidRDefault="00085379" w:rsidP="00AF4ADB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Accurate</w:t>
            </w:r>
            <w:r w:rsidR="00C93BE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administration and recording of documentation </w:t>
            </w:r>
            <w:r w:rsidR="006832B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to </w:t>
            </w:r>
            <w:r w:rsidR="00C93BE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support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employee relation case work.</w:t>
            </w:r>
          </w:p>
          <w:p w14:paraId="5703C2D1" w14:textId="1998FB99" w:rsidR="003F3ACD" w:rsidRPr="00DB006D" w:rsidRDefault="00A14771" w:rsidP="008B222A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Support the</w:t>
            </w:r>
            <w:r w:rsidR="000509F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collation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</w:t>
            </w:r>
            <w:r w:rsidR="008B222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analysis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of </w:t>
            </w:r>
            <w:r w:rsidR="008B222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key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ER</w:t>
            </w:r>
            <w:r w:rsidR="008B222A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metrics</w:t>
            </w:r>
            <w:r w:rsidR="000509F3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presenting </w:t>
            </w:r>
            <w:r w:rsidR="00A86D37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information to internal forums. </w:t>
            </w:r>
          </w:p>
          <w:p w14:paraId="1DAA9E0C" w14:textId="77777777" w:rsidR="00AF4ADB" w:rsidRPr="00DB006D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3BC39" w14:textId="66E8F04E" w:rsidR="00AF4ADB" w:rsidRPr="00DB006D" w:rsidRDefault="00085379" w:rsidP="00020F9B">
            <w:pPr>
              <w:rPr>
                <w:rFonts w:asciiTheme="majorHAnsi" w:eastAsia="BasicCommercial LT Com Light" w:hAnsiTheme="majorHAnsi" w:cstheme="majorHAnsi"/>
                <w:b/>
                <w:bCs/>
                <w:color w:val="auto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>Legislative</w:t>
            </w:r>
            <w:r w:rsidR="00A85FB1" w:rsidRPr="00DB006D">
              <w:rPr>
                <w:rFonts w:asciiTheme="majorHAnsi" w:hAnsiTheme="majorHAnsi" w:cstheme="majorHAnsi"/>
                <w:color w:val="auto"/>
                <w:sz w:val="20"/>
                <w:szCs w:val="20"/>
                <w:u w:val="single"/>
              </w:rPr>
              <w:t xml:space="preserve"> Expertise</w:t>
            </w:r>
          </w:p>
          <w:p w14:paraId="4787A0C9" w14:textId="438A4588" w:rsidR="009A39B2" w:rsidRPr="00DB006D" w:rsidRDefault="004E6B55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Keep abreast of changes to</w:t>
            </w:r>
            <w:r w:rsidR="00F912C9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UK and Irish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employment l</w:t>
            </w:r>
            <w:r w:rsidR="00020F9B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egislations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best practice</w:t>
            </w:r>
            <w:r w:rsidR="00064E36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A39B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supporting the</w:t>
            </w:r>
            <w:r w:rsidR="00B92CBC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organisation </w:t>
            </w:r>
            <w:r w:rsidR="009A39B2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to maintain legal compliance</w:t>
            </w:r>
            <w:r w:rsidR="00085379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and enhance the employment relationship.</w:t>
            </w:r>
          </w:p>
          <w:p w14:paraId="0769C92A" w14:textId="5B0B2CE8" w:rsidR="002345BE" w:rsidRPr="00DB006D" w:rsidRDefault="005E79CB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Communicate changes</w:t>
            </w:r>
            <w:r w:rsidR="00FB3C5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in UK and Irish employment legislations to </w:t>
            </w:r>
            <w:r w:rsidR="0092159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stakeholders ensuring u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pdate</w:t>
            </w:r>
            <w:r w:rsidR="00F65C8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2159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to policies and procedures are </w:t>
            </w:r>
            <w:r w:rsidR="00F65C8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completed.</w:t>
            </w:r>
            <w:r w:rsidR="00921594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3290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776C3CC8" w14:textId="6BF8C226" w:rsidR="00A36CB1" w:rsidRPr="00DB006D" w:rsidRDefault="00BF18E1" w:rsidP="006A2F77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As </w:t>
            </w:r>
            <w:r w:rsidR="009177A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 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subject matter expert, share knowledge during interactions with Managers and</w:t>
            </w:r>
            <w:r w:rsidR="00A36C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9177A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contribute to </w:t>
            </w:r>
            <w:r w:rsidR="00A36C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distribut</w:t>
            </w:r>
            <w:r w:rsidR="009177A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ing</w:t>
            </w:r>
            <w:r w:rsidR="00A36C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key </w:t>
            </w:r>
            <w:r w:rsidR="009177A0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legislative </w:t>
            </w:r>
            <w:r w:rsidR="00A36CB1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updates to</w:t>
            </w:r>
            <w:r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the wider organisation</w:t>
            </w:r>
            <w:r w:rsidR="00DE2348" w:rsidRPr="00DB006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4ECF6704" w14:textId="77777777" w:rsidR="00EE7326" w:rsidRPr="00DB006D" w:rsidRDefault="00EE7326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47601431" w14:textId="77777777" w:rsidR="00AF4ADB" w:rsidRPr="00DB006D" w:rsidRDefault="00AF4ADB" w:rsidP="00AF4AD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Personal Capability Building</w:t>
            </w:r>
          </w:p>
          <w:p w14:paraId="2231A624" w14:textId="77777777" w:rsidR="00E13F23" w:rsidRPr="00DB006D" w:rsidRDefault="00AF4ADB" w:rsidP="00E13F23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Develop own capabilities by participating in assessment and development</w:t>
            </w:r>
            <w:r w:rsidR="00E13F23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planning activities as well as formal and informal training and coaching. </w:t>
            </w:r>
          </w:p>
          <w:p w14:paraId="32BB8B19" w14:textId="0BA0D3AB" w:rsidR="008248F9" w:rsidRPr="00DB006D" w:rsidRDefault="00AF4ADB" w:rsidP="00823EA8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Develop</w:t>
            </w:r>
            <w:r w:rsidR="00E13F23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and maintain an understanding of relevant technology, external regulation</w:t>
            </w:r>
            <w:r w:rsidR="00DE2348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r w:rsidR="00E13F23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industry best practices through ongoing education, attending conferences, and</w:t>
            </w:r>
            <w:r w:rsidR="00C108E3"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reading specialist media.</w:t>
            </w:r>
          </w:p>
          <w:p w14:paraId="2844554C" w14:textId="5EAF2A1B" w:rsidR="00333397" w:rsidRPr="00DB006D" w:rsidRDefault="00333397" w:rsidP="00333397">
            <w:pPr>
              <w:pStyle w:val="Default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DB006D" w:rsidRDefault="00A324B5" w:rsidP="00A324B5">
            <w:pPr>
              <w:ind w:right="5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34780D" w14:textId="443248AA" w:rsidR="00B05272" w:rsidRPr="00DB006D" w:rsidRDefault="00296F9A" w:rsidP="00A324B5">
            <w:pPr>
              <w:ind w:right="59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917B77" w:rsidRPr="009A04AF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59A778" w14:textId="77777777" w:rsidR="00917B77" w:rsidRPr="00DB006D" w:rsidRDefault="00917B77" w:rsidP="00917B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Internal</w:t>
            </w:r>
          </w:p>
          <w:p w14:paraId="377A726C" w14:textId="77777777" w:rsidR="00917B77" w:rsidRPr="00DB006D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People Managers</w:t>
            </w:r>
          </w:p>
          <w:p w14:paraId="6F846C2D" w14:textId="77777777" w:rsidR="00917B77" w:rsidRPr="00DB006D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HR Team</w:t>
            </w:r>
          </w:p>
          <w:p w14:paraId="4636FD79" w14:textId="571739FE" w:rsidR="00917B77" w:rsidRPr="00DB006D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D87553" w:rsidRPr="00DB006D">
              <w:rPr>
                <w:rFonts w:asciiTheme="majorHAnsi" w:hAnsiTheme="majorHAnsi" w:cstheme="majorHAnsi"/>
                <w:sz w:val="20"/>
                <w:szCs w:val="20"/>
              </w:rPr>
              <w:t>colleagues</w:t>
            </w: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7985A3D" w14:textId="690922BF" w:rsidR="00917B77" w:rsidRPr="00DB006D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70E1C154" w14:textId="77777777" w:rsidTr="006B3BBD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6E000" w14:textId="77777777" w:rsidR="00917B77" w:rsidRPr="00DB006D" w:rsidRDefault="00917B77" w:rsidP="00917B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External</w:t>
            </w:r>
          </w:p>
          <w:p w14:paraId="0AEC4010" w14:textId="412F86B9" w:rsidR="00917B77" w:rsidRPr="00DB006D" w:rsidRDefault="00917B77" w:rsidP="00917B77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ACAS</w:t>
            </w:r>
            <w:r w:rsidR="002A7FCA" w:rsidRPr="00DB006D">
              <w:rPr>
                <w:rFonts w:asciiTheme="majorHAnsi" w:hAnsiTheme="majorHAnsi" w:cstheme="majorHAnsi"/>
                <w:sz w:val="20"/>
                <w:szCs w:val="20"/>
              </w:rPr>
              <w:t>, WRC, Employment Tribunal</w:t>
            </w:r>
          </w:p>
          <w:p w14:paraId="2462540C" w14:textId="77777777" w:rsidR="00917B77" w:rsidRPr="00DB006D" w:rsidRDefault="00917B77" w:rsidP="00917B77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External Legal Counsel</w:t>
            </w:r>
          </w:p>
          <w:p w14:paraId="6B3F069B" w14:textId="77777777" w:rsidR="00917B77" w:rsidRPr="00DB006D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Occupational Health and GP surgeries</w:t>
            </w:r>
          </w:p>
          <w:p w14:paraId="6BED55A0" w14:textId="77777777" w:rsidR="00917B77" w:rsidRPr="00DB006D" w:rsidRDefault="00917B77" w:rsidP="00917B77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sz w:val="20"/>
                <w:szCs w:val="20"/>
              </w:rPr>
              <w:t>Case management systems</w:t>
            </w:r>
          </w:p>
          <w:p w14:paraId="430D50CE" w14:textId="1E86E476" w:rsidR="00917B77" w:rsidRPr="00DB006D" w:rsidRDefault="00917B77" w:rsidP="00917B77">
            <w:pPr>
              <w:ind w:right="843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3AF44CC6" w14:textId="77777777" w:rsidTr="00917B77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917B77" w:rsidRPr="00DB006D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11AC4DB6" w:rsidR="00917B77" w:rsidRPr="00DB006D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b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917B77" w:rsidRPr="00DB006D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49220D8F" w14:textId="77777777" w:rsidTr="00333397">
        <w:trPr>
          <w:trHeight w:val="942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82A33C" w14:textId="4A2B94E5" w:rsidR="00082F42" w:rsidRPr="00DB006D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lastRenderedPageBreak/>
              <w:t xml:space="preserve">Specialist employment relations knowledge within a </w:t>
            </w:r>
            <w:r w:rsidR="000403C4" w:rsidRPr="00DB006D">
              <w:rPr>
                <w:rFonts w:asciiTheme="majorHAnsi" w:hAnsiTheme="majorHAnsi" w:cstheme="majorHAnsi"/>
                <w:color w:val="000000"/>
                <w:lang w:val="en-US"/>
              </w:rPr>
              <w:t>fast-paced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="000403C4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environment. </w:t>
            </w:r>
          </w:p>
          <w:p w14:paraId="287FF5E2" w14:textId="50CEAFDD" w:rsidR="000403C4" w:rsidRPr="00DB006D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Proven ability of supporting high volume employee relation case management.</w:t>
            </w:r>
          </w:p>
          <w:p w14:paraId="6879AA84" w14:textId="51700C08" w:rsidR="00F13ECE" w:rsidRPr="00DB006D" w:rsidRDefault="00F13ECE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Leadership experience </w:t>
            </w:r>
            <w:r w:rsidR="00384C75" w:rsidRPr="00DB006D">
              <w:rPr>
                <w:rFonts w:asciiTheme="majorHAnsi" w:hAnsiTheme="majorHAnsi" w:cstheme="majorHAnsi"/>
                <w:color w:val="000000"/>
                <w:lang w:val="en-US"/>
              </w:rPr>
              <w:t>of a Team Leader/ Supervisory level</w:t>
            </w:r>
          </w:p>
          <w:p w14:paraId="17BC91A2" w14:textId="6047CC6E" w:rsidR="00657766" w:rsidRPr="00DB006D" w:rsidRDefault="00F13ECE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Vast e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xperience 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in 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>handling complex, high risk and sensitive employee relations matters.</w:t>
            </w:r>
          </w:p>
          <w:p w14:paraId="45A17990" w14:textId="5C4FC42F" w:rsidR="00657766" w:rsidRPr="00DB006D" w:rsidRDefault="000403C4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Applied knowledge of UK &amp; Irish employment legislation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  <w:p w14:paraId="412971EA" w14:textId="5F848FBC" w:rsidR="00082F42" w:rsidRPr="00DB006D" w:rsidRDefault="00082F42" w:rsidP="000403C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Experience supporting restructuring, redundancy</w:t>
            </w:r>
            <w:r w:rsidR="000403C4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, 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changing contractual terms &amp; 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TUPE. </w:t>
            </w:r>
          </w:p>
          <w:p w14:paraId="5318AC33" w14:textId="51991590" w:rsidR="00657766" w:rsidRPr="00DB006D" w:rsidRDefault="00657766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Experience managing employment tribunal and WRC proceedings.</w:t>
            </w:r>
          </w:p>
          <w:p w14:paraId="6F9EB81C" w14:textId="71D69554" w:rsidR="00B06308" w:rsidRPr="00DB006D" w:rsidRDefault="00B61866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Trained or experience mediator able to support with mediation sessions or advise on conflict resolution</w:t>
            </w:r>
          </w:p>
          <w:p w14:paraId="791E22F0" w14:textId="3B18BD6D" w:rsidR="00657766" w:rsidRPr="00DB006D" w:rsidRDefault="00082F42" w:rsidP="00C86A67">
            <w:pPr>
              <w:pStyle w:val="Header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Experience </w:t>
            </w:r>
            <w:r w:rsidR="00384C75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leading 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medium</w:t>
            </w:r>
            <w:r w:rsidR="002F31B4" w:rsidRPr="00DB006D">
              <w:rPr>
                <w:rFonts w:asciiTheme="majorHAnsi" w:hAnsiTheme="majorHAnsi" w:cstheme="majorHAnsi"/>
                <w:color w:val="000000"/>
                <w:lang w:val="en-US"/>
              </w:rPr>
              <w:t>-large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HR projects and working collaboratively with colleagues in a 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>center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of excellence/shared service environment</w:t>
            </w:r>
            <w:r w:rsidR="00657766" w:rsidRPr="00DB006D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  <w:p w14:paraId="6F812980" w14:textId="4C5E6537" w:rsidR="00D05E8E" w:rsidRPr="00DB006D" w:rsidRDefault="00D05E8E" w:rsidP="00917B77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</w:p>
        </w:tc>
      </w:tr>
      <w:tr w:rsidR="00917B77" w:rsidRPr="009A04AF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917B77" w:rsidRPr="00DB006D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917B77" w:rsidRPr="009A04AF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CF760" w14:textId="6068CF5A" w:rsidR="00917B77" w:rsidRPr="00DB006D" w:rsidRDefault="00657766" w:rsidP="00657766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lang w:val="it-IT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CIPD qualified</w:t>
            </w:r>
          </w:p>
        </w:tc>
      </w:tr>
      <w:tr w:rsidR="00917B77" w:rsidRPr="009A04AF" w14:paraId="5693BA88" w14:textId="77777777" w:rsidTr="00917B77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917B77" w:rsidRPr="00DB006D" w:rsidRDefault="00917B77" w:rsidP="00917B77">
            <w:pPr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1A2E08C6" w:rsidR="00917B77" w:rsidRPr="00DB006D" w:rsidRDefault="00917B77" w:rsidP="00917B77">
            <w:pPr>
              <w:ind w:left="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006D">
              <w:rPr>
                <w:rFonts w:asciiTheme="majorHAnsi" w:hAnsiTheme="majorHAnsi" w:cstheme="majorHAnsi"/>
                <w:b/>
                <w:sz w:val="20"/>
                <w:szCs w:val="20"/>
              </w:rPr>
              <w:t>TECHNICAL/ BEHAVIOURAL/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917B77" w:rsidRPr="00DB006D" w:rsidRDefault="00917B77" w:rsidP="00917B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7B77" w:rsidRPr="009A04AF" w14:paraId="224D012E" w14:textId="77777777" w:rsidTr="00474475">
        <w:trPr>
          <w:trHeight w:val="240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ADCEC2" w14:textId="4C52E032" w:rsidR="0084029A" w:rsidRPr="00DB006D" w:rsidRDefault="003B4093" w:rsidP="00474475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Ability to build trusted relationships with key stakeholders</w:t>
            </w:r>
          </w:p>
          <w:p w14:paraId="782544D3" w14:textId="171C6E3F" w:rsidR="00BB39BC" w:rsidRPr="00DB006D" w:rsidRDefault="00BB39BC" w:rsidP="00474475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Confident delivery skills</w:t>
            </w:r>
            <w:r w:rsidR="00B06308" w:rsidRPr="00DB006D">
              <w:rPr>
                <w:rFonts w:asciiTheme="majorHAnsi" w:hAnsiTheme="majorHAnsi" w:cstheme="majorHAnsi"/>
                <w:color w:val="000000"/>
                <w:lang w:val="en-US"/>
              </w:rPr>
              <w:t>, able to communicate information and mange challenge</w:t>
            </w:r>
          </w:p>
          <w:p w14:paraId="1A519958" w14:textId="743ACD1D" w:rsidR="00174014" w:rsidRPr="00DB006D" w:rsidRDefault="0084029A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Collaborative specialist able to work as within a team </w:t>
            </w:r>
            <w:r w:rsidR="00174014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environment </w:t>
            </w:r>
          </w:p>
          <w:p w14:paraId="22B689A6" w14:textId="65B00F54" w:rsidR="00174014" w:rsidRPr="00DB006D" w:rsidRDefault="00174014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Pragmatic</w:t>
            </w:r>
            <w:r w:rsidR="00C63792" w:rsidRPr="00DB006D">
              <w:rPr>
                <w:rFonts w:asciiTheme="majorHAnsi" w:hAnsiTheme="majorHAnsi" w:cstheme="majorHAnsi"/>
                <w:color w:val="000000"/>
                <w:lang w:val="en-US"/>
              </w:rPr>
              <w:t>, able to assess risk and provide pragmatic solutions</w:t>
            </w:r>
          </w:p>
          <w:p w14:paraId="3ECAFA46" w14:textId="1F40F985" w:rsidR="00C63792" w:rsidRPr="00DB006D" w:rsidRDefault="00D9166B" w:rsidP="00174014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Skilled in managing high volumes of </w:t>
            </w:r>
            <w:r w:rsidR="003B4093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employee relations 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matters</w:t>
            </w:r>
            <w:r w:rsidR="002962E8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and </w:t>
            </w:r>
            <w:proofErr w:type="spellStart"/>
            <w:r w:rsidR="002962E8" w:rsidRPr="00DB006D">
              <w:rPr>
                <w:rFonts w:asciiTheme="majorHAnsi" w:hAnsiTheme="majorHAnsi" w:cstheme="majorHAnsi"/>
                <w:color w:val="000000"/>
                <w:lang w:val="en-US"/>
              </w:rPr>
              <w:t>prioritising</w:t>
            </w:r>
            <w:proofErr w:type="spellEnd"/>
            <w:r w:rsidR="002962E8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focus</w:t>
            </w:r>
          </w:p>
          <w:p w14:paraId="57001F54" w14:textId="77777777" w:rsidR="00CF7E89" w:rsidRPr="00DB006D" w:rsidRDefault="002962E8" w:rsidP="002962E8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Excellent communication and influencing skills with strong attention to detail </w:t>
            </w:r>
          </w:p>
          <w:p w14:paraId="4664C100" w14:textId="05188FE2" w:rsidR="00DD5FA0" w:rsidRPr="00DB006D" w:rsidRDefault="0044369A" w:rsidP="002962E8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>Curious, question the norm and</w:t>
            </w:r>
            <w:r w:rsidR="00EE7713"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seek to</w:t>
            </w:r>
            <w:r w:rsidRPr="00DB006D">
              <w:rPr>
                <w:rFonts w:asciiTheme="majorHAnsi" w:hAnsiTheme="majorHAnsi" w:cstheme="majorHAnsi"/>
                <w:color w:val="000000"/>
                <w:lang w:val="en-US"/>
              </w:rPr>
              <w:t xml:space="preserve"> proactively improve practices</w:t>
            </w: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9A04AF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272" w:rsidRPr="009A04AF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9A04AF" w:rsidRDefault="00296F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04AF">
              <w:rPr>
                <w:rFonts w:asciiTheme="majorHAnsi" w:hAnsiTheme="majorHAnsi" w:cstheme="maj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9A04AF" w:rsidRDefault="00B0527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056A07" w14:textId="27068ED9" w:rsidR="00B05272" w:rsidRPr="009A04AF" w:rsidRDefault="00B05272">
      <w:pPr>
        <w:spacing w:after="0"/>
        <w:rPr>
          <w:rFonts w:asciiTheme="majorHAnsi" w:hAnsiTheme="majorHAnsi" w:cstheme="majorHAnsi"/>
          <w:sz w:val="20"/>
          <w:szCs w:val="20"/>
        </w:rPr>
      </w:pPr>
    </w:p>
    <w:sectPr w:rsidR="00B05272" w:rsidRPr="009A04AF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DE6"/>
    <w:multiLevelType w:val="hybridMultilevel"/>
    <w:tmpl w:val="0BFE8D5E"/>
    <w:lvl w:ilvl="0" w:tplc="EEEED8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20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0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3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8F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C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42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A6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69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8E7"/>
    <w:multiLevelType w:val="hybridMultilevel"/>
    <w:tmpl w:val="809A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59D8"/>
    <w:multiLevelType w:val="hybridMultilevel"/>
    <w:tmpl w:val="26E0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F44977"/>
    <w:multiLevelType w:val="multilevel"/>
    <w:tmpl w:val="38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43752"/>
    <w:multiLevelType w:val="hybridMultilevel"/>
    <w:tmpl w:val="1792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7561B36"/>
    <w:multiLevelType w:val="hybridMultilevel"/>
    <w:tmpl w:val="C50E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FCA5D05"/>
    <w:multiLevelType w:val="hybridMultilevel"/>
    <w:tmpl w:val="C1D4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D67FB"/>
    <w:multiLevelType w:val="hybridMultilevel"/>
    <w:tmpl w:val="716E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91B28DB"/>
    <w:multiLevelType w:val="hybridMultilevel"/>
    <w:tmpl w:val="200A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4587"/>
    <w:multiLevelType w:val="hybridMultilevel"/>
    <w:tmpl w:val="1A9E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A7957"/>
    <w:multiLevelType w:val="hybridMultilevel"/>
    <w:tmpl w:val="05A4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F42CB"/>
    <w:multiLevelType w:val="hybridMultilevel"/>
    <w:tmpl w:val="58EA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745F08"/>
    <w:multiLevelType w:val="multilevel"/>
    <w:tmpl w:val="144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63878">
    <w:abstractNumId w:val="24"/>
  </w:num>
  <w:num w:numId="2" w16cid:durableId="713651247">
    <w:abstractNumId w:val="12"/>
  </w:num>
  <w:num w:numId="3" w16cid:durableId="1371494552">
    <w:abstractNumId w:val="13"/>
  </w:num>
  <w:num w:numId="4" w16cid:durableId="424346920">
    <w:abstractNumId w:val="20"/>
  </w:num>
  <w:num w:numId="5" w16cid:durableId="2026399955">
    <w:abstractNumId w:val="0"/>
  </w:num>
  <w:num w:numId="6" w16cid:durableId="1479108603">
    <w:abstractNumId w:val="9"/>
  </w:num>
  <w:num w:numId="7" w16cid:durableId="29915158">
    <w:abstractNumId w:val="25"/>
  </w:num>
  <w:num w:numId="8" w16cid:durableId="1643540052">
    <w:abstractNumId w:val="15"/>
  </w:num>
  <w:num w:numId="9" w16cid:durableId="1487430086">
    <w:abstractNumId w:val="7"/>
  </w:num>
  <w:num w:numId="10" w16cid:durableId="1584140915">
    <w:abstractNumId w:val="10"/>
  </w:num>
  <w:num w:numId="11" w16cid:durableId="571307609">
    <w:abstractNumId w:val="22"/>
  </w:num>
  <w:num w:numId="12" w16cid:durableId="1610696510">
    <w:abstractNumId w:val="18"/>
  </w:num>
  <w:num w:numId="13" w16cid:durableId="1533179378">
    <w:abstractNumId w:val="3"/>
  </w:num>
  <w:num w:numId="14" w16cid:durableId="1187599962">
    <w:abstractNumId w:val="5"/>
  </w:num>
  <w:num w:numId="15" w16cid:durableId="1361935841">
    <w:abstractNumId w:val="26"/>
  </w:num>
  <w:num w:numId="16" w16cid:durableId="1552955221">
    <w:abstractNumId w:val="4"/>
  </w:num>
  <w:num w:numId="17" w16cid:durableId="1744403732">
    <w:abstractNumId w:val="19"/>
  </w:num>
  <w:num w:numId="18" w16cid:durableId="405492024">
    <w:abstractNumId w:val="14"/>
  </w:num>
  <w:num w:numId="19" w16cid:durableId="2125221588">
    <w:abstractNumId w:val="17"/>
  </w:num>
  <w:num w:numId="20" w16cid:durableId="149566983">
    <w:abstractNumId w:val="6"/>
  </w:num>
  <w:num w:numId="21" w16cid:durableId="2086295448">
    <w:abstractNumId w:val="2"/>
  </w:num>
  <w:num w:numId="22" w16cid:durableId="691341668">
    <w:abstractNumId w:val="1"/>
  </w:num>
  <w:num w:numId="23" w16cid:durableId="457915900">
    <w:abstractNumId w:val="8"/>
  </w:num>
  <w:num w:numId="24" w16cid:durableId="1811362531">
    <w:abstractNumId w:val="21"/>
  </w:num>
  <w:num w:numId="25" w16cid:durableId="1128670816">
    <w:abstractNumId w:val="23"/>
  </w:num>
  <w:num w:numId="26" w16cid:durableId="128137251">
    <w:abstractNumId w:val="16"/>
  </w:num>
  <w:num w:numId="27" w16cid:durableId="1441145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47D1"/>
    <w:rsid w:val="00005C2D"/>
    <w:rsid w:val="00020F9B"/>
    <w:rsid w:val="00031DE6"/>
    <w:rsid w:val="000376FC"/>
    <w:rsid w:val="000403C4"/>
    <w:rsid w:val="000509F3"/>
    <w:rsid w:val="00060347"/>
    <w:rsid w:val="00064E36"/>
    <w:rsid w:val="00073FF5"/>
    <w:rsid w:val="00077A68"/>
    <w:rsid w:val="00082F42"/>
    <w:rsid w:val="00085379"/>
    <w:rsid w:val="00092086"/>
    <w:rsid w:val="000B3E4A"/>
    <w:rsid w:val="000B50D1"/>
    <w:rsid w:val="000B61D4"/>
    <w:rsid w:val="000B6FC4"/>
    <w:rsid w:val="000C1AE2"/>
    <w:rsid w:val="000D07E9"/>
    <w:rsid w:val="000F102D"/>
    <w:rsid w:val="001046CC"/>
    <w:rsid w:val="00157DB1"/>
    <w:rsid w:val="00162897"/>
    <w:rsid w:val="00174014"/>
    <w:rsid w:val="0017554B"/>
    <w:rsid w:val="00175B83"/>
    <w:rsid w:val="00177808"/>
    <w:rsid w:val="00186AFC"/>
    <w:rsid w:val="001A0804"/>
    <w:rsid w:val="001A1084"/>
    <w:rsid w:val="001A383F"/>
    <w:rsid w:val="001A5D6F"/>
    <w:rsid w:val="001C08C5"/>
    <w:rsid w:val="001E0AE9"/>
    <w:rsid w:val="001F1781"/>
    <w:rsid w:val="001F423B"/>
    <w:rsid w:val="00203F8F"/>
    <w:rsid w:val="00212EDA"/>
    <w:rsid w:val="00214612"/>
    <w:rsid w:val="00214BAF"/>
    <w:rsid w:val="002248D2"/>
    <w:rsid w:val="00231511"/>
    <w:rsid w:val="0023290A"/>
    <w:rsid w:val="002345BE"/>
    <w:rsid w:val="00264C50"/>
    <w:rsid w:val="00275E6B"/>
    <w:rsid w:val="00280638"/>
    <w:rsid w:val="00286BF7"/>
    <w:rsid w:val="00287286"/>
    <w:rsid w:val="002962E8"/>
    <w:rsid w:val="00296F9A"/>
    <w:rsid w:val="002A60CA"/>
    <w:rsid w:val="002A7FCA"/>
    <w:rsid w:val="002C1EA1"/>
    <w:rsid w:val="002E1A17"/>
    <w:rsid w:val="002F083C"/>
    <w:rsid w:val="002F31B4"/>
    <w:rsid w:val="002F6EAA"/>
    <w:rsid w:val="00302029"/>
    <w:rsid w:val="00315379"/>
    <w:rsid w:val="00333397"/>
    <w:rsid w:val="0033640A"/>
    <w:rsid w:val="0033688D"/>
    <w:rsid w:val="003547B7"/>
    <w:rsid w:val="0035588C"/>
    <w:rsid w:val="00360B3A"/>
    <w:rsid w:val="003644F1"/>
    <w:rsid w:val="0036508F"/>
    <w:rsid w:val="00365585"/>
    <w:rsid w:val="00373A19"/>
    <w:rsid w:val="00384C75"/>
    <w:rsid w:val="0038540A"/>
    <w:rsid w:val="00386814"/>
    <w:rsid w:val="00390524"/>
    <w:rsid w:val="00393FBA"/>
    <w:rsid w:val="00397CF0"/>
    <w:rsid w:val="003A1A51"/>
    <w:rsid w:val="003A6002"/>
    <w:rsid w:val="003B4093"/>
    <w:rsid w:val="003C0D4F"/>
    <w:rsid w:val="003C3B3D"/>
    <w:rsid w:val="003C7A26"/>
    <w:rsid w:val="003D0FB7"/>
    <w:rsid w:val="003E08EF"/>
    <w:rsid w:val="003F3ACD"/>
    <w:rsid w:val="00415997"/>
    <w:rsid w:val="004262A0"/>
    <w:rsid w:val="004369CE"/>
    <w:rsid w:val="004423A6"/>
    <w:rsid w:val="0044302C"/>
    <w:rsid w:val="0044369A"/>
    <w:rsid w:val="004525EA"/>
    <w:rsid w:val="00454C5A"/>
    <w:rsid w:val="00471B2B"/>
    <w:rsid w:val="004725C5"/>
    <w:rsid w:val="00474475"/>
    <w:rsid w:val="00481565"/>
    <w:rsid w:val="0048692A"/>
    <w:rsid w:val="00490B62"/>
    <w:rsid w:val="004921F6"/>
    <w:rsid w:val="004A29C9"/>
    <w:rsid w:val="004B30F0"/>
    <w:rsid w:val="004B3FB1"/>
    <w:rsid w:val="004B7C2C"/>
    <w:rsid w:val="004C7843"/>
    <w:rsid w:val="004E1A4D"/>
    <w:rsid w:val="004E2981"/>
    <w:rsid w:val="004E69A3"/>
    <w:rsid w:val="004E6B55"/>
    <w:rsid w:val="00507007"/>
    <w:rsid w:val="005123EA"/>
    <w:rsid w:val="0052061A"/>
    <w:rsid w:val="00532900"/>
    <w:rsid w:val="005365C0"/>
    <w:rsid w:val="005422A4"/>
    <w:rsid w:val="00563BB3"/>
    <w:rsid w:val="00571D5D"/>
    <w:rsid w:val="005745FC"/>
    <w:rsid w:val="00580772"/>
    <w:rsid w:val="00582EEA"/>
    <w:rsid w:val="005830B1"/>
    <w:rsid w:val="00597942"/>
    <w:rsid w:val="005A7D08"/>
    <w:rsid w:val="005C28DF"/>
    <w:rsid w:val="005C7DCA"/>
    <w:rsid w:val="005E223E"/>
    <w:rsid w:val="005E79CB"/>
    <w:rsid w:val="005F5E73"/>
    <w:rsid w:val="0060428E"/>
    <w:rsid w:val="00604C3B"/>
    <w:rsid w:val="0061296D"/>
    <w:rsid w:val="00631D5D"/>
    <w:rsid w:val="006346C5"/>
    <w:rsid w:val="00647FB5"/>
    <w:rsid w:val="00652BD6"/>
    <w:rsid w:val="00657766"/>
    <w:rsid w:val="006627CE"/>
    <w:rsid w:val="00664EBB"/>
    <w:rsid w:val="006832B2"/>
    <w:rsid w:val="00684560"/>
    <w:rsid w:val="00697939"/>
    <w:rsid w:val="00697AAD"/>
    <w:rsid w:val="006A143D"/>
    <w:rsid w:val="006A2F77"/>
    <w:rsid w:val="006A3FB6"/>
    <w:rsid w:val="006B0F50"/>
    <w:rsid w:val="006B2699"/>
    <w:rsid w:val="006D6982"/>
    <w:rsid w:val="006E1BD3"/>
    <w:rsid w:val="006F66E0"/>
    <w:rsid w:val="006F7B6C"/>
    <w:rsid w:val="0070292F"/>
    <w:rsid w:val="00717BD7"/>
    <w:rsid w:val="00723223"/>
    <w:rsid w:val="00733AE4"/>
    <w:rsid w:val="00736A8E"/>
    <w:rsid w:val="00744FC3"/>
    <w:rsid w:val="00755EE7"/>
    <w:rsid w:val="00764EF8"/>
    <w:rsid w:val="007702B4"/>
    <w:rsid w:val="00792419"/>
    <w:rsid w:val="007A7C11"/>
    <w:rsid w:val="007C09FE"/>
    <w:rsid w:val="007C6655"/>
    <w:rsid w:val="007D706C"/>
    <w:rsid w:val="007D72AC"/>
    <w:rsid w:val="007E213C"/>
    <w:rsid w:val="007E6753"/>
    <w:rsid w:val="007E7AE8"/>
    <w:rsid w:val="008002DA"/>
    <w:rsid w:val="00803828"/>
    <w:rsid w:val="00807BBF"/>
    <w:rsid w:val="0081204B"/>
    <w:rsid w:val="008226D8"/>
    <w:rsid w:val="00823EA8"/>
    <w:rsid w:val="008248F9"/>
    <w:rsid w:val="0082598A"/>
    <w:rsid w:val="00827BAD"/>
    <w:rsid w:val="0084029A"/>
    <w:rsid w:val="0084309D"/>
    <w:rsid w:val="00850CC3"/>
    <w:rsid w:val="0085657F"/>
    <w:rsid w:val="00863623"/>
    <w:rsid w:val="00865744"/>
    <w:rsid w:val="00875047"/>
    <w:rsid w:val="00895596"/>
    <w:rsid w:val="008A1E70"/>
    <w:rsid w:val="008A4448"/>
    <w:rsid w:val="008A5200"/>
    <w:rsid w:val="008A67C2"/>
    <w:rsid w:val="008B222A"/>
    <w:rsid w:val="008B7D8C"/>
    <w:rsid w:val="008D65F7"/>
    <w:rsid w:val="008D797F"/>
    <w:rsid w:val="008E3712"/>
    <w:rsid w:val="008E47D7"/>
    <w:rsid w:val="008E564A"/>
    <w:rsid w:val="00905793"/>
    <w:rsid w:val="009177A0"/>
    <w:rsid w:val="00917B77"/>
    <w:rsid w:val="0092046C"/>
    <w:rsid w:val="00921594"/>
    <w:rsid w:val="00932C25"/>
    <w:rsid w:val="00963596"/>
    <w:rsid w:val="00970329"/>
    <w:rsid w:val="009726CD"/>
    <w:rsid w:val="0097361D"/>
    <w:rsid w:val="0098464C"/>
    <w:rsid w:val="00984962"/>
    <w:rsid w:val="009853CF"/>
    <w:rsid w:val="009903F7"/>
    <w:rsid w:val="00991A8F"/>
    <w:rsid w:val="00992103"/>
    <w:rsid w:val="009930BB"/>
    <w:rsid w:val="009955CB"/>
    <w:rsid w:val="009A04AF"/>
    <w:rsid w:val="009A39B2"/>
    <w:rsid w:val="009A4A7B"/>
    <w:rsid w:val="009A7666"/>
    <w:rsid w:val="009B70C9"/>
    <w:rsid w:val="009C2C63"/>
    <w:rsid w:val="009C5B76"/>
    <w:rsid w:val="009F70BB"/>
    <w:rsid w:val="00A12CA2"/>
    <w:rsid w:val="00A14771"/>
    <w:rsid w:val="00A15193"/>
    <w:rsid w:val="00A172DA"/>
    <w:rsid w:val="00A27799"/>
    <w:rsid w:val="00A324B5"/>
    <w:rsid w:val="00A36CB1"/>
    <w:rsid w:val="00A431ED"/>
    <w:rsid w:val="00A4682A"/>
    <w:rsid w:val="00A4758F"/>
    <w:rsid w:val="00A637AE"/>
    <w:rsid w:val="00A82A2E"/>
    <w:rsid w:val="00A85FB1"/>
    <w:rsid w:val="00A86D37"/>
    <w:rsid w:val="00A871D1"/>
    <w:rsid w:val="00A905F8"/>
    <w:rsid w:val="00A927B9"/>
    <w:rsid w:val="00AA4F6C"/>
    <w:rsid w:val="00AB16C8"/>
    <w:rsid w:val="00AB3418"/>
    <w:rsid w:val="00AC0996"/>
    <w:rsid w:val="00AC5E83"/>
    <w:rsid w:val="00AE1F9F"/>
    <w:rsid w:val="00AF0BF9"/>
    <w:rsid w:val="00AF4ADB"/>
    <w:rsid w:val="00AF6815"/>
    <w:rsid w:val="00B02FCC"/>
    <w:rsid w:val="00B044FA"/>
    <w:rsid w:val="00B05272"/>
    <w:rsid w:val="00B06308"/>
    <w:rsid w:val="00B06514"/>
    <w:rsid w:val="00B06C9C"/>
    <w:rsid w:val="00B07E40"/>
    <w:rsid w:val="00B10165"/>
    <w:rsid w:val="00B135D0"/>
    <w:rsid w:val="00B21489"/>
    <w:rsid w:val="00B24ACD"/>
    <w:rsid w:val="00B40966"/>
    <w:rsid w:val="00B61866"/>
    <w:rsid w:val="00B6401D"/>
    <w:rsid w:val="00B661B5"/>
    <w:rsid w:val="00B81AD5"/>
    <w:rsid w:val="00B92CBC"/>
    <w:rsid w:val="00B94418"/>
    <w:rsid w:val="00B97AB0"/>
    <w:rsid w:val="00BB0A58"/>
    <w:rsid w:val="00BB26CF"/>
    <w:rsid w:val="00BB39BC"/>
    <w:rsid w:val="00BC3411"/>
    <w:rsid w:val="00BC603E"/>
    <w:rsid w:val="00BE68CF"/>
    <w:rsid w:val="00BF18E1"/>
    <w:rsid w:val="00BF5546"/>
    <w:rsid w:val="00C108E3"/>
    <w:rsid w:val="00C26950"/>
    <w:rsid w:val="00C5584D"/>
    <w:rsid w:val="00C60AD6"/>
    <w:rsid w:val="00C60F8B"/>
    <w:rsid w:val="00C63792"/>
    <w:rsid w:val="00C64386"/>
    <w:rsid w:val="00C80BCC"/>
    <w:rsid w:val="00C83763"/>
    <w:rsid w:val="00C86A67"/>
    <w:rsid w:val="00C87D20"/>
    <w:rsid w:val="00C93BE0"/>
    <w:rsid w:val="00C94428"/>
    <w:rsid w:val="00CB3C2E"/>
    <w:rsid w:val="00CD34E1"/>
    <w:rsid w:val="00CD599D"/>
    <w:rsid w:val="00CE07B8"/>
    <w:rsid w:val="00CE17F2"/>
    <w:rsid w:val="00CF7E89"/>
    <w:rsid w:val="00D00438"/>
    <w:rsid w:val="00D04C90"/>
    <w:rsid w:val="00D05E8E"/>
    <w:rsid w:val="00D124CD"/>
    <w:rsid w:val="00D30D9D"/>
    <w:rsid w:val="00D65404"/>
    <w:rsid w:val="00D805F2"/>
    <w:rsid w:val="00D82258"/>
    <w:rsid w:val="00D87553"/>
    <w:rsid w:val="00D9166B"/>
    <w:rsid w:val="00D937E9"/>
    <w:rsid w:val="00DA19C9"/>
    <w:rsid w:val="00DA1EBB"/>
    <w:rsid w:val="00DB006D"/>
    <w:rsid w:val="00DB0C7D"/>
    <w:rsid w:val="00DB4DC5"/>
    <w:rsid w:val="00DB7B38"/>
    <w:rsid w:val="00DC4F42"/>
    <w:rsid w:val="00DD2F4B"/>
    <w:rsid w:val="00DD5FA0"/>
    <w:rsid w:val="00DE2348"/>
    <w:rsid w:val="00DE3C90"/>
    <w:rsid w:val="00DE439A"/>
    <w:rsid w:val="00DE5509"/>
    <w:rsid w:val="00DE62EA"/>
    <w:rsid w:val="00DF35DB"/>
    <w:rsid w:val="00DF47CF"/>
    <w:rsid w:val="00E04167"/>
    <w:rsid w:val="00E11064"/>
    <w:rsid w:val="00E13F23"/>
    <w:rsid w:val="00E22682"/>
    <w:rsid w:val="00E24251"/>
    <w:rsid w:val="00E369B1"/>
    <w:rsid w:val="00E436FF"/>
    <w:rsid w:val="00E45B12"/>
    <w:rsid w:val="00E616F4"/>
    <w:rsid w:val="00E72A5B"/>
    <w:rsid w:val="00E734A9"/>
    <w:rsid w:val="00E756A2"/>
    <w:rsid w:val="00E87756"/>
    <w:rsid w:val="00E93BBF"/>
    <w:rsid w:val="00EB14F3"/>
    <w:rsid w:val="00EB22D2"/>
    <w:rsid w:val="00EC371A"/>
    <w:rsid w:val="00EE2A13"/>
    <w:rsid w:val="00EE7326"/>
    <w:rsid w:val="00EE7713"/>
    <w:rsid w:val="00F06F68"/>
    <w:rsid w:val="00F07983"/>
    <w:rsid w:val="00F10826"/>
    <w:rsid w:val="00F13ECE"/>
    <w:rsid w:val="00F42506"/>
    <w:rsid w:val="00F56DD6"/>
    <w:rsid w:val="00F65C84"/>
    <w:rsid w:val="00F71BCC"/>
    <w:rsid w:val="00F71ECF"/>
    <w:rsid w:val="00F912C9"/>
    <w:rsid w:val="00F96D5A"/>
    <w:rsid w:val="00FA7E3A"/>
    <w:rsid w:val="00FB365A"/>
    <w:rsid w:val="00FB3C54"/>
    <w:rsid w:val="00FC0835"/>
    <w:rsid w:val="00FF5A52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rsid w:val="008A67C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color w:val="auto"/>
      <w:sz w:val="20"/>
      <w:szCs w:val="20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A67C2"/>
    <w:rPr>
      <w:rFonts w:ascii="CG Times" w:eastAsia="Times New Roman" w:hAnsi="CG Times" w:cs="Times New Roman"/>
      <w:snapToGrid w:val="0"/>
      <w:sz w:val="20"/>
      <w:szCs w:val="20"/>
      <w:lang w:val="ru-RU" w:eastAsia="en-US"/>
    </w:rPr>
  </w:style>
  <w:style w:type="paragraph" w:customStyle="1" w:styleId="Default">
    <w:name w:val="Default"/>
    <w:rsid w:val="0048156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E223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Laura McLaughlin</cp:lastModifiedBy>
  <cp:revision>2</cp:revision>
  <dcterms:created xsi:type="dcterms:W3CDTF">2025-01-22T15:33:00Z</dcterms:created>
  <dcterms:modified xsi:type="dcterms:W3CDTF">2025-01-22T15:33:00Z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